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3869" w:right="642"/>
      </w:pPr>
      <w:r>
        <w:rPr/>
        <w:t>NORMAS PARA LA PUBLICACIÓN EN LA EDITORIAL UNIVERSIDAD DE SEVILLA</w:t>
      </w:r>
    </w:p>
    <w:p>
      <w:pPr>
        <w:pStyle w:val="BodyText"/>
        <w:spacing w:before="8"/>
        <w:rPr>
          <w:b/>
          <w:sz w:val="21"/>
        </w:rPr>
      </w:pPr>
    </w:p>
    <w:p>
      <w:pPr>
        <w:pStyle w:val="ListParagraph"/>
        <w:numPr>
          <w:ilvl w:val="0"/>
          <w:numId w:val="1"/>
        </w:numPr>
        <w:tabs>
          <w:tab w:pos="822" w:val="left" w:leader="none"/>
        </w:tabs>
        <w:spacing w:line="240" w:lineRule="auto" w:before="0" w:after="0"/>
        <w:ind w:left="820" w:right="218" w:hanging="359"/>
        <w:jc w:val="both"/>
        <w:rPr>
          <w:sz w:val="22"/>
        </w:rPr>
      </w:pPr>
      <w:r>
        <w:rPr>
          <w:sz w:val="22"/>
        </w:rPr>
        <w:t>Los textos estarán en formato DIN-A4 (21 cm de ancho por 29,7 cm de largo). Para el cuerpo del trabajo se emplearán letras Times New Roman de 12 puntos, con interlineado de</w:t>
      </w:r>
      <w:r>
        <w:rPr>
          <w:spacing w:val="-1"/>
          <w:sz w:val="22"/>
        </w:rPr>
        <w:t> </w:t>
      </w:r>
      <w:r>
        <w:rPr>
          <w:sz w:val="22"/>
        </w:rPr>
        <w:t>1,5.</w:t>
      </w:r>
    </w:p>
    <w:p>
      <w:pPr>
        <w:pStyle w:val="ListParagraph"/>
        <w:numPr>
          <w:ilvl w:val="0"/>
          <w:numId w:val="1"/>
        </w:numPr>
        <w:tabs>
          <w:tab w:pos="821" w:val="left" w:leader="none"/>
        </w:tabs>
        <w:spacing w:line="240" w:lineRule="auto" w:before="120" w:after="0"/>
        <w:ind w:left="820" w:right="219" w:hanging="360"/>
        <w:jc w:val="both"/>
        <w:rPr>
          <w:sz w:val="22"/>
        </w:rPr>
      </w:pPr>
      <w:r>
        <w:rPr/>
        <w:pict>
          <v:shapetype id="_x0000_t202" o:spt="202" coordsize="21600,21600" path="m,l,21600r21600,l21600,xe">
            <v:stroke joinstyle="miter"/>
            <v:path gradientshapeok="t" o:connecttype="rect"/>
          </v:shapetype>
          <v:shape style="position:absolute;margin-left:115.68pt;margin-top:37.871437pt;width:400pt;height:119.05pt;mso-position-horizontal-relative:page;mso-position-vertical-relative:paragraph;z-index:-1024;mso-wrap-distance-left:0;mso-wrap-distance-right:0" type="#_x0000_t202" filled="false" stroked="true" strokeweight=".48pt" strokecolor="#000000">
            <v:textbox inset="0,0,0,0">
              <w:txbxContent>
                <w:p>
                  <w:pPr>
                    <w:pStyle w:val="BodyText"/>
                    <w:spacing w:before="0"/>
                    <w:ind w:left="103"/>
                  </w:pPr>
                  <w:r>
                    <w:rPr/>
                    <w:t>Capítulo 1. el sistema de fuentes aplicable sobre el régimen jurídico general en la enajenación de los bienes inmuebles de las entidades locales de</w:t>
                  </w:r>
                  <w:r>
                    <w:rPr>
                      <w:spacing w:val="-13"/>
                    </w:rPr>
                    <w:t> </w:t>
                  </w:r>
                  <w:r>
                    <w:rPr/>
                    <w:t>Andalucía</w:t>
                  </w:r>
                </w:p>
                <w:p>
                  <w:pPr>
                    <w:pStyle w:val="BodyText"/>
                    <w:numPr>
                      <w:ilvl w:val="0"/>
                      <w:numId w:val="2"/>
                    </w:numPr>
                    <w:tabs>
                      <w:tab w:pos="812" w:val="left" w:leader="none"/>
                    </w:tabs>
                    <w:spacing w:line="240" w:lineRule="auto" w:before="114" w:after="0"/>
                    <w:ind w:left="811" w:right="0" w:hanging="348"/>
                    <w:jc w:val="left"/>
                  </w:pPr>
                  <w:r>
                    <w:rPr/>
                    <w:t>La legislación estatal y autonómica sobre bienes</w:t>
                  </w:r>
                  <w:r>
                    <w:rPr>
                      <w:spacing w:val="-19"/>
                    </w:rPr>
                    <w:t> </w:t>
                  </w:r>
                  <w:r>
                    <w:rPr/>
                    <w:t>públicos</w:t>
                  </w:r>
                </w:p>
                <w:p>
                  <w:pPr>
                    <w:pStyle w:val="BodyText"/>
                    <w:numPr>
                      <w:ilvl w:val="1"/>
                      <w:numId w:val="2"/>
                    </w:numPr>
                    <w:tabs>
                      <w:tab w:pos="1184" w:val="left" w:leader="none"/>
                    </w:tabs>
                    <w:spacing w:line="240" w:lineRule="auto" w:before="119" w:after="0"/>
                    <w:ind w:left="1183" w:right="0" w:hanging="360"/>
                    <w:jc w:val="left"/>
                  </w:pPr>
                  <w:r>
                    <w:rPr/>
                    <w:t>La legislación estatal sobre bienes</w:t>
                  </w:r>
                  <w:r>
                    <w:rPr>
                      <w:spacing w:val="-8"/>
                    </w:rPr>
                    <w:t> </w:t>
                  </w:r>
                  <w:r>
                    <w:rPr/>
                    <w:t>públicos</w:t>
                  </w:r>
                </w:p>
                <w:p>
                  <w:pPr>
                    <w:pStyle w:val="BodyText"/>
                    <w:numPr>
                      <w:ilvl w:val="2"/>
                      <w:numId w:val="2"/>
                    </w:numPr>
                    <w:tabs>
                      <w:tab w:pos="1903" w:val="left" w:leader="none"/>
                      <w:tab w:pos="1904" w:val="left" w:leader="none"/>
                    </w:tabs>
                    <w:spacing w:line="240" w:lineRule="auto" w:before="119" w:after="0"/>
                    <w:ind w:left="1903" w:right="0" w:hanging="720"/>
                    <w:jc w:val="left"/>
                  </w:pPr>
                  <w:r>
                    <w:rPr/>
                    <w:t>Legislación estatal</w:t>
                  </w:r>
                  <w:r>
                    <w:rPr>
                      <w:spacing w:val="-6"/>
                    </w:rPr>
                    <w:t> </w:t>
                  </w:r>
                  <w:r>
                    <w:rPr/>
                    <w:t>básica</w:t>
                  </w:r>
                </w:p>
                <w:p>
                  <w:pPr>
                    <w:pStyle w:val="BodyText"/>
                    <w:numPr>
                      <w:ilvl w:val="3"/>
                      <w:numId w:val="2"/>
                    </w:numPr>
                    <w:tabs>
                      <w:tab w:pos="2228" w:val="left" w:leader="none"/>
                    </w:tabs>
                    <w:spacing w:line="240" w:lineRule="auto" w:before="122" w:after="0"/>
                    <w:ind w:left="2263" w:right="97" w:hanging="720"/>
                    <w:jc w:val="left"/>
                  </w:pPr>
                  <w:r>
                    <w:rPr/>
                    <w:t>Los preceptos de carácter básico de la Ley de Patrimonio de las Administraciones</w:t>
                  </w:r>
                  <w:r>
                    <w:rPr>
                      <w:spacing w:val="-1"/>
                    </w:rPr>
                    <w:t> </w:t>
                  </w:r>
                  <w:r>
                    <w:rPr/>
                    <w:t>Públicas</w:t>
                  </w:r>
                </w:p>
              </w:txbxContent>
            </v:textbox>
            <v:stroke dashstyle="solid"/>
            <w10:wrap type="topAndBottom"/>
          </v:shape>
        </w:pict>
      </w:r>
      <w:r>
        <w:rPr>
          <w:sz w:val="22"/>
        </w:rPr>
        <w:t>Para los títulos de capítulos, epígrafes y apartados, se aceptará un número máximo de 5 niveles. Ejemplo:</w:t>
      </w:r>
    </w:p>
    <w:p>
      <w:pPr>
        <w:pStyle w:val="BodyText"/>
        <w:spacing w:before="3"/>
        <w:rPr>
          <w:sz w:val="21"/>
        </w:rPr>
      </w:pPr>
    </w:p>
    <w:p>
      <w:pPr>
        <w:pStyle w:val="BodyText"/>
        <w:spacing w:before="92"/>
        <w:ind w:left="821" w:right="216"/>
        <w:jc w:val="both"/>
      </w:pPr>
      <w:r>
        <w:rPr/>
        <w:pict>
          <v:shape style="position:absolute;margin-left:115.68pt;margin-top:49.066631pt;width:400pt;height:131.8pt;mso-position-horizontal-relative:page;mso-position-vertical-relative:paragraph;z-index:-1000;mso-wrap-distance-left:0;mso-wrap-distance-right:0" type="#_x0000_t202" filled="false" stroked="true" strokeweight=".48pt" strokecolor="#000000">
            <v:textbox inset="0,0,0,0">
              <w:txbxContent>
                <w:p>
                  <w:pPr>
                    <w:spacing w:before="1"/>
                    <w:ind w:left="103" w:right="98" w:firstLine="0"/>
                    <w:jc w:val="both"/>
                    <w:rPr>
                      <w:b/>
                      <w:sz w:val="22"/>
                    </w:rPr>
                  </w:pPr>
                  <w:r>
                    <w:rPr>
                      <w:b/>
                      <w:sz w:val="22"/>
                    </w:rPr>
                    <w:t>CAPÍTULO 1. EL SISTEMA DE FUENTES APLICABLE SOBRE EL RÉGIMEN JURÍDICO GENERAL EN LA ENAJENACIÓN DE LOS BIENES INMUEBLES DE LAS ENTIDADES LOCALES DE</w:t>
                  </w:r>
                  <w:r>
                    <w:rPr>
                      <w:b/>
                      <w:spacing w:val="-7"/>
                      <w:sz w:val="22"/>
                    </w:rPr>
                    <w:t> </w:t>
                  </w:r>
                  <w:r>
                    <w:rPr>
                      <w:b/>
                      <w:sz w:val="22"/>
                    </w:rPr>
                    <w:t>ANDALUCÍA</w:t>
                  </w:r>
                </w:p>
                <w:p>
                  <w:pPr>
                    <w:numPr>
                      <w:ilvl w:val="0"/>
                      <w:numId w:val="3"/>
                    </w:numPr>
                    <w:tabs>
                      <w:tab w:pos="812" w:val="left" w:leader="none"/>
                    </w:tabs>
                    <w:spacing w:before="119"/>
                    <w:ind w:left="811" w:right="0" w:hanging="348"/>
                    <w:jc w:val="left"/>
                    <w:rPr>
                      <w:b/>
                      <w:sz w:val="18"/>
                    </w:rPr>
                  </w:pPr>
                  <w:r>
                    <w:rPr>
                      <w:b/>
                      <w:sz w:val="22"/>
                    </w:rPr>
                    <w:t>L</w:t>
                  </w:r>
                  <w:r>
                    <w:rPr>
                      <w:b/>
                      <w:sz w:val="18"/>
                    </w:rPr>
                    <w:t>A LEGISLACIÓN ESTATAL Y AUTONÓMICA SOBRE BIENES</w:t>
                  </w:r>
                  <w:r>
                    <w:rPr>
                      <w:b/>
                      <w:spacing w:val="-7"/>
                      <w:sz w:val="18"/>
                    </w:rPr>
                    <w:t> </w:t>
                  </w:r>
                  <w:r>
                    <w:rPr>
                      <w:b/>
                      <w:sz w:val="18"/>
                    </w:rPr>
                    <w:t>PÚBLICOS</w:t>
                  </w:r>
                </w:p>
                <w:p>
                  <w:pPr>
                    <w:numPr>
                      <w:ilvl w:val="1"/>
                      <w:numId w:val="3"/>
                    </w:numPr>
                    <w:tabs>
                      <w:tab w:pos="1184" w:val="left" w:leader="none"/>
                    </w:tabs>
                    <w:spacing w:before="119"/>
                    <w:ind w:left="1183" w:right="0" w:hanging="360"/>
                    <w:jc w:val="left"/>
                    <w:rPr>
                      <w:b/>
                      <w:sz w:val="22"/>
                    </w:rPr>
                  </w:pPr>
                  <w:r>
                    <w:rPr>
                      <w:b/>
                      <w:sz w:val="22"/>
                    </w:rPr>
                    <w:t>La legislación estatal sobre bienes</w:t>
                  </w:r>
                  <w:r>
                    <w:rPr>
                      <w:b/>
                      <w:spacing w:val="-4"/>
                      <w:sz w:val="22"/>
                    </w:rPr>
                    <w:t> </w:t>
                  </w:r>
                  <w:r>
                    <w:rPr>
                      <w:b/>
                      <w:sz w:val="22"/>
                    </w:rPr>
                    <w:t>públicos</w:t>
                  </w:r>
                </w:p>
                <w:p>
                  <w:pPr>
                    <w:numPr>
                      <w:ilvl w:val="2"/>
                      <w:numId w:val="3"/>
                    </w:numPr>
                    <w:tabs>
                      <w:tab w:pos="1903" w:val="left" w:leader="none"/>
                      <w:tab w:pos="1904" w:val="left" w:leader="none"/>
                    </w:tabs>
                    <w:spacing w:before="117"/>
                    <w:ind w:left="1903" w:right="0" w:hanging="720"/>
                    <w:jc w:val="left"/>
                    <w:rPr>
                      <w:i/>
                      <w:sz w:val="22"/>
                    </w:rPr>
                  </w:pPr>
                  <w:r>
                    <w:rPr>
                      <w:i/>
                      <w:sz w:val="22"/>
                    </w:rPr>
                    <w:t>Legislación estatal</w:t>
                  </w:r>
                  <w:r>
                    <w:rPr>
                      <w:i/>
                      <w:spacing w:val="-3"/>
                      <w:sz w:val="22"/>
                    </w:rPr>
                    <w:t> </w:t>
                  </w:r>
                  <w:r>
                    <w:rPr>
                      <w:i/>
                      <w:sz w:val="22"/>
                    </w:rPr>
                    <w:t>básica</w:t>
                  </w:r>
                </w:p>
                <w:p>
                  <w:pPr>
                    <w:pStyle w:val="BodyText"/>
                    <w:numPr>
                      <w:ilvl w:val="3"/>
                      <w:numId w:val="3"/>
                    </w:numPr>
                    <w:tabs>
                      <w:tab w:pos="2228" w:val="left" w:leader="none"/>
                    </w:tabs>
                    <w:spacing w:line="240" w:lineRule="auto" w:before="119" w:after="0"/>
                    <w:ind w:left="2263" w:right="97" w:hanging="720"/>
                    <w:jc w:val="left"/>
                  </w:pPr>
                  <w:r>
                    <w:rPr/>
                    <w:t>Los preceptos de carácter básico de la Ley de Patrimonio de las Administraciones</w:t>
                  </w:r>
                  <w:r>
                    <w:rPr>
                      <w:spacing w:val="-1"/>
                    </w:rPr>
                    <w:t> </w:t>
                  </w:r>
                  <w:r>
                    <w:rPr/>
                    <w:t>Públicas</w:t>
                  </w:r>
                </w:p>
              </w:txbxContent>
            </v:textbox>
            <v:stroke dashstyle="solid"/>
            <w10:wrap type="topAndBottom"/>
          </v:shape>
        </w:pict>
      </w:r>
      <w:r>
        <w:rPr/>
        <w:t>Estos cinco niveles de títulos se distinguirán, bien mediante la colocación de un  número, tal como muestra el ejemplo anterior, bien mediante la utilización de las siguientes soluciones</w:t>
      </w:r>
      <w:r>
        <w:rPr>
          <w:spacing w:val="-5"/>
        </w:rPr>
        <w:t> </w:t>
      </w:r>
      <w:r>
        <w:rPr/>
        <w:t>tipográficas:</w:t>
      </w:r>
    </w:p>
    <w:p>
      <w:pPr>
        <w:pStyle w:val="BodyText"/>
        <w:spacing w:before="6"/>
        <w:rPr>
          <w:sz w:val="21"/>
        </w:rPr>
      </w:pPr>
    </w:p>
    <w:p>
      <w:pPr>
        <w:pStyle w:val="ListParagraph"/>
        <w:numPr>
          <w:ilvl w:val="0"/>
          <w:numId w:val="1"/>
        </w:numPr>
        <w:tabs>
          <w:tab w:pos="822" w:val="left" w:leader="none"/>
        </w:tabs>
        <w:spacing w:line="240" w:lineRule="auto" w:before="91" w:after="0"/>
        <w:ind w:left="821" w:right="216" w:hanging="360"/>
        <w:jc w:val="both"/>
        <w:rPr>
          <w:sz w:val="22"/>
        </w:rPr>
      </w:pPr>
      <w:r>
        <w:rPr>
          <w:sz w:val="22"/>
        </w:rPr>
        <w:t>Cuando se trate de obras colectivas, tras el título de cada contribución (que irá centrado, en mayúscula y negritas), se indicará, alineado a la derecha y en versalita, el nombre del autor(es), y debajo, en cursiva, el nombre de la institución.</w:t>
      </w:r>
      <w:r>
        <w:rPr>
          <w:spacing w:val="-12"/>
          <w:sz w:val="22"/>
        </w:rPr>
        <w:t> </w:t>
      </w:r>
      <w:r>
        <w:rPr>
          <w:sz w:val="22"/>
        </w:rPr>
        <w:t>Ejemplo:</w:t>
      </w:r>
    </w:p>
    <w:p>
      <w:pPr>
        <w:pStyle w:val="BodyText"/>
        <w:spacing w:before="0"/>
        <w:rPr>
          <w:sz w:val="24"/>
        </w:rPr>
      </w:pPr>
    </w:p>
    <w:p>
      <w:pPr>
        <w:pStyle w:val="BodyText"/>
        <w:spacing w:before="2"/>
        <w:rPr>
          <w:sz w:val="19"/>
        </w:rPr>
      </w:pPr>
    </w:p>
    <w:p>
      <w:pPr>
        <w:pStyle w:val="Heading1"/>
        <w:ind w:left="2309" w:right="670" w:hanging="1033"/>
      </w:pPr>
      <w:r>
        <w:rPr/>
        <w:t>CONSTELACIÓN LÉXICA EN TORNO AL VOCABULARIO DE LOS FLUIDOS EN LA MEDICINA DEL SIGLO XVIII</w:t>
      </w:r>
    </w:p>
    <w:p>
      <w:pPr>
        <w:spacing w:before="114"/>
        <w:ind w:left="0" w:right="218" w:firstLine="0"/>
        <w:jc w:val="right"/>
        <w:rPr>
          <w:sz w:val="24"/>
        </w:rPr>
      </w:pPr>
      <w:r>
        <w:rPr>
          <w:sz w:val="24"/>
        </w:rPr>
        <w:t>Josefa Gómez de</w:t>
      </w:r>
      <w:r>
        <w:rPr>
          <w:spacing w:val="-6"/>
          <w:sz w:val="24"/>
        </w:rPr>
        <w:t> </w:t>
      </w:r>
      <w:r>
        <w:rPr>
          <w:sz w:val="24"/>
        </w:rPr>
        <w:t>Enterría</w:t>
      </w:r>
    </w:p>
    <w:p>
      <w:pPr>
        <w:spacing w:before="2"/>
        <w:ind w:left="0" w:right="217" w:firstLine="0"/>
        <w:jc w:val="right"/>
        <w:rPr>
          <w:i/>
          <w:sz w:val="22"/>
        </w:rPr>
      </w:pPr>
      <w:r>
        <w:rPr>
          <w:i/>
          <w:sz w:val="22"/>
        </w:rPr>
        <w:t>Universidad de</w:t>
      </w:r>
      <w:r>
        <w:rPr>
          <w:i/>
          <w:spacing w:val="-3"/>
          <w:sz w:val="22"/>
        </w:rPr>
        <w:t> </w:t>
      </w:r>
      <w:r>
        <w:rPr>
          <w:i/>
          <w:sz w:val="22"/>
        </w:rPr>
        <w:t>Alcalá</w:t>
      </w:r>
    </w:p>
    <w:p>
      <w:pPr>
        <w:pStyle w:val="ListParagraph"/>
        <w:numPr>
          <w:ilvl w:val="0"/>
          <w:numId w:val="1"/>
        </w:numPr>
        <w:tabs>
          <w:tab w:pos="822" w:val="left" w:leader="none"/>
        </w:tabs>
        <w:spacing w:line="240" w:lineRule="auto" w:before="119" w:after="0"/>
        <w:ind w:left="821" w:right="217" w:hanging="360"/>
        <w:jc w:val="both"/>
        <w:rPr>
          <w:sz w:val="22"/>
        </w:rPr>
      </w:pPr>
      <w:r>
        <w:rPr>
          <w:sz w:val="22"/>
        </w:rPr>
        <w:t>Todas las citas sangradas que superen las tres líneas de texto se sangrarán a 1 tabulador de 1 cm a la izquierda del margen y tendrán un tamaño de 11 puntos y un interlineado simple. Su texto irá en redonda y no se entrecomillará. En el caso de que no superen las tres líneas, las citas se integrarán en el cuerpo del texto, en letra redonda y entre comillas latinas (« »). Cuando una cita contenga otra cita en su interior, esta cita integrada se marcará con comillas altas (“</w:t>
      </w:r>
      <w:r>
        <w:rPr>
          <w:spacing w:val="-6"/>
          <w:sz w:val="22"/>
        </w:rPr>
        <w:t> </w:t>
      </w:r>
      <w:r>
        <w:rPr>
          <w:sz w:val="22"/>
        </w:rPr>
        <w:t>”).</w:t>
      </w:r>
    </w:p>
    <w:p>
      <w:pPr>
        <w:pStyle w:val="ListParagraph"/>
        <w:numPr>
          <w:ilvl w:val="0"/>
          <w:numId w:val="1"/>
        </w:numPr>
        <w:tabs>
          <w:tab w:pos="822" w:val="left" w:leader="none"/>
        </w:tabs>
        <w:spacing w:line="240" w:lineRule="auto" w:before="121" w:after="0"/>
        <w:ind w:left="821" w:right="215" w:hanging="360"/>
        <w:jc w:val="both"/>
        <w:rPr>
          <w:sz w:val="22"/>
        </w:rPr>
      </w:pPr>
      <w:r>
        <w:rPr>
          <w:sz w:val="22"/>
        </w:rPr>
        <w:t>Todas las notas serán a pie de página y no finales. En las notas, la letra será de diez puntos y el interlineado de 1. Todos los márgenes de las páginas se situarán en 2,54</w:t>
      </w:r>
      <w:r>
        <w:rPr>
          <w:spacing w:val="33"/>
          <w:sz w:val="22"/>
        </w:rPr>
        <w:t> </w:t>
      </w:r>
      <w:r>
        <w:rPr>
          <w:sz w:val="22"/>
        </w:rPr>
        <w:t>cm.</w:t>
      </w:r>
    </w:p>
    <w:p>
      <w:pPr>
        <w:spacing w:after="0" w:line="240" w:lineRule="auto"/>
        <w:jc w:val="both"/>
        <w:rPr>
          <w:sz w:val="22"/>
        </w:rPr>
        <w:sectPr>
          <w:type w:val="continuous"/>
          <w:pgSz w:w="11910" w:h="16840"/>
          <w:pgMar w:top="1320" w:bottom="280" w:left="1600" w:right="1480"/>
        </w:sectPr>
      </w:pPr>
    </w:p>
    <w:p>
      <w:pPr>
        <w:pStyle w:val="BodyText"/>
        <w:spacing w:before="71"/>
        <w:ind w:left="821"/>
      </w:pPr>
      <w:r>
        <w:rPr/>
        <w:t>Las notas se colocarán a pie de página. Todas las páginas del trabajo irán numeradas correlativamente.</w:t>
      </w:r>
    </w:p>
    <w:p>
      <w:pPr>
        <w:pStyle w:val="ListParagraph"/>
        <w:numPr>
          <w:ilvl w:val="0"/>
          <w:numId w:val="1"/>
        </w:numPr>
        <w:tabs>
          <w:tab w:pos="822" w:val="left" w:leader="none"/>
        </w:tabs>
        <w:spacing w:line="240" w:lineRule="auto" w:before="121" w:after="0"/>
        <w:ind w:left="821" w:right="216" w:hanging="360"/>
        <w:jc w:val="both"/>
        <w:rPr>
          <w:sz w:val="22"/>
        </w:rPr>
      </w:pPr>
      <w:r>
        <w:rPr>
          <w:sz w:val="22"/>
        </w:rPr>
        <w:t>Los resaltes de texto se harán en cursiva o versalitas, evitando el uso de la negrita, salvo que se justifique explícitamente su necesidad, por haber resaltes de más de dos</w:t>
      </w:r>
      <w:r>
        <w:rPr>
          <w:spacing w:val="-21"/>
          <w:sz w:val="22"/>
        </w:rPr>
        <w:t> </w:t>
      </w:r>
      <w:r>
        <w:rPr>
          <w:sz w:val="22"/>
        </w:rPr>
        <w:t>niveles.</w:t>
      </w:r>
    </w:p>
    <w:p>
      <w:pPr>
        <w:pStyle w:val="ListParagraph"/>
        <w:numPr>
          <w:ilvl w:val="0"/>
          <w:numId w:val="1"/>
        </w:numPr>
        <w:tabs>
          <w:tab w:pos="822" w:val="left" w:leader="none"/>
        </w:tabs>
        <w:spacing w:line="240" w:lineRule="auto" w:before="120" w:after="0"/>
        <w:ind w:left="821" w:right="0" w:hanging="360"/>
        <w:jc w:val="left"/>
        <w:rPr>
          <w:sz w:val="22"/>
        </w:rPr>
      </w:pPr>
      <w:r>
        <w:rPr>
          <w:sz w:val="22"/>
        </w:rPr>
        <w:t>Para el uso de guiones parentéticos, se tendrá en cuenta lo</w:t>
      </w:r>
      <w:r>
        <w:rPr>
          <w:spacing w:val="-9"/>
          <w:sz w:val="22"/>
        </w:rPr>
        <w:t> </w:t>
      </w:r>
      <w:r>
        <w:rPr>
          <w:sz w:val="22"/>
        </w:rPr>
        <w:t>siguiente:</w:t>
      </w:r>
    </w:p>
    <w:p>
      <w:pPr>
        <w:pStyle w:val="ListParagraph"/>
        <w:numPr>
          <w:ilvl w:val="1"/>
          <w:numId w:val="1"/>
        </w:numPr>
        <w:tabs>
          <w:tab w:pos="1182" w:val="left" w:leader="none"/>
        </w:tabs>
        <w:spacing w:line="240" w:lineRule="auto" w:before="119" w:after="0"/>
        <w:ind w:left="1181" w:right="220" w:hanging="360"/>
        <w:jc w:val="left"/>
        <w:rPr>
          <w:sz w:val="22"/>
        </w:rPr>
      </w:pPr>
      <w:r>
        <w:rPr>
          <w:sz w:val="22"/>
        </w:rPr>
        <w:t>Se emplearán guiones altos de tamaño mediano. Ejemplo: cuyo uso –como ya hemos visto en</w:t>
      </w:r>
      <w:r>
        <w:rPr>
          <w:spacing w:val="-1"/>
          <w:sz w:val="22"/>
        </w:rPr>
        <w:t> </w:t>
      </w:r>
      <w:r>
        <w:rPr>
          <w:sz w:val="22"/>
        </w:rPr>
        <w:t>2.1.–</w:t>
      </w:r>
    </w:p>
    <w:p>
      <w:pPr>
        <w:pStyle w:val="ListParagraph"/>
        <w:numPr>
          <w:ilvl w:val="1"/>
          <w:numId w:val="1"/>
        </w:numPr>
        <w:tabs>
          <w:tab w:pos="1182" w:val="left" w:leader="none"/>
        </w:tabs>
        <w:spacing w:line="240" w:lineRule="auto" w:before="121" w:after="0"/>
        <w:ind w:left="1181" w:right="218" w:hanging="360"/>
        <w:jc w:val="both"/>
        <w:rPr>
          <w:sz w:val="22"/>
        </w:rPr>
      </w:pPr>
      <w:r>
        <w:rPr>
          <w:sz w:val="22"/>
        </w:rPr>
        <w:t>Los guiones irán pegados, sin espacio intermedio, el primero a la palabra que le sigue, y el segundo a la palabra que le antecede. Ejemplo: cuyo uso –como ya hemos visto en</w:t>
      </w:r>
      <w:r>
        <w:rPr>
          <w:spacing w:val="-1"/>
          <w:sz w:val="22"/>
        </w:rPr>
        <w:t> </w:t>
      </w:r>
      <w:r>
        <w:rPr>
          <w:sz w:val="22"/>
        </w:rPr>
        <w:t>2.1.–</w:t>
      </w:r>
    </w:p>
    <w:p>
      <w:pPr>
        <w:pStyle w:val="ListParagraph"/>
        <w:numPr>
          <w:ilvl w:val="0"/>
          <w:numId w:val="1"/>
        </w:numPr>
        <w:tabs>
          <w:tab w:pos="822" w:val="left" w:leader="none"/>
        </w:tabs>
        <w:spacing w:line="240" w:lineRule="auto" w:before="119" w:after="0"/>
        <w:ind w:left="821" w:right="217" w:hanging="360"/>
        <w:jc w:val="both"/>
        <w:rPr>
          <w:sz w:val="22"/>
        </w:rPr>
      </w:pPr>
      <w:r>
        <w:rPr>
          <w:sz w:val="22"/>
        </w:rPr>
        <w:t>Para la confección de listas, se deberá optar siempre por un procedimiento homogéneo. Ejemplos:</w:t>
      </w:r>
    </w:p>
    <w:p>
      <w:pPr>
        <w:pStyle w:val="BodyText"/>
        <w:spacing w:before="120"/>
        <w:ind w:left="821"/>
      </w:pPr>
      <w:r>
        <w:rPr/>
        <w:t>Ejemplo de lista 1</w:t>
      </w:r>
    </w:p>
    <w:p>
      <w:pPr>
        <w:pStyle w:val="ListParagraph"/>
        <w:numPr>
          <w:ilvl w:val="0"/>
          <w:numId w:val="4"/>
        </w:numPr>
        <w:tabs>
          <w:tab w:pos="1182" w:val="left" w:leader="none"/>
        </w:tabs>
        <w:spacing w:line="240" w:lineRule="auto" w:before="122" w:after="0"/>
        <w:ind w:left="1181" w:right="0" w:hanging="360"/>
        <w:jc w:val="left"/>
        <w:rPr>
          <w:sz w:val="22"/>
        </w:rPr>
      </w:pPr>
      <w:r>
        <w:rPr>
          <w:i/>
          <w:sz w:val="22"/>
        </w:rPr>
        <w:t>Abajar</w:t>
      </w:r>
      <w:r>
        <w:rPr>
          <w:sz w:val="22"/>
        </w:rPr>
        <w:t>. Ant.</w:t>
      </w:r>
      <w:r>
        <w:rPr>
          <w:spacing w:val="-3"/>
          <w:sz w:val="22"/>
        </w:rPr>
        <w:t> </w:t>
      </w:r>
      <w:r>
        <w:rPr>
          <w:sz w:val="22"/>
        </w:rPr>
        <w:t>Bajar.</w:t>
      </w:r>
    </w:p>
    <w:p>
      <w:pPr>
        <w:pStyle w:val="ListParagraph"/>
        <w:numPr>
          <w:ilvl w:val="0"/>
          <w:numId w:val="4"/>
        </w:numPr>
        <w:tabs>
          <w:tab w:pos="1182" w:val="left" w:leader="none"/>
        </w:tabs>
        <w:spacing w:line="240" w:lineRule="auto" w:before="119" w:after="0"/>
        <w:ind w:left="1181" w:right="0" w:hanging="360"/>
        <w:jc w:val="left"/>
        <w:rPr>
          <w:sz w:val="22"/>
        </w:rPr>
      </w:pPr>
      <w:r>
        <w:rPr>
          <w:i/>
          <w:sz w:val="22"/>
        </w:rPr>
        <w:t>Burgués</w:t>
      </w:r>
      <w:r>
        <w:rPr>
          <w:sz w:val="22"/>
        </w:rPr>
        <w:t>, sa adj. ant. Perteneciente al burgo o</w:t>
      </w:r>
      <w:r>
        <w:rPr>
          <w:spacing w:val="-10"/>
          <w:sz w:val="22"/>
        </w:rPr>
        <w:t> </w:t>
      </w:r>
      <w:r>
        <w:rPr>
          <w:sz w:val="22"/>
        </w:rPr>
        <w:t>aldea.</w:t>
      </w:r>
    </w:p>
    <w:p>
      <w:pPr>
        <w:pStyle w:val="ListParagraph"/>
        <w:numPr>
          <w:ilvl w:val="0"/>
          <w:numId w:val="4"/>
        </w:numPr>
        <w:tabs>
          <w:tab w:pos="1182" w:val="left" w:leader="none"/>
        </w:tabs>
        <w:spacing w:line="240" w:lineRule="auto" w:before="121" w:after="0"/>
        <w:ind w:left="1181" w:right="0" w:hanging="360"/>
        <w:jc w:val="left"/>
        <w:rPr>
          <w:sz w:val="22"/>
        </w:rPr>
      </w:pPr>
      <w:r>
        <w:rPr>
          <w:i/>
          <w:sz w:val="22"/>
        </w:rPr>
        <w:t>Confriscar</w:t>
      </w:r>
      <w:r>
        <w:rPr>
          <w:sz w:val="22"/>
        </w:rPr>
        <w:t>. a. ant. Frotar,</w:t>
      </w:r>
      <w:r>
        <w:rPr>
          <w:spacing w:val="-7"/>
          <w:sz w:val="22"/>
        </w:rPr>
        <w:t> </w:t>
      </w:r>
      <w:r>
        <w:rPr>
          <w:sz w:val="22"/>
        </w:rPr>
        <w:t>estregar.</w:t>
      </w:r>
    </w:p>
    <w:p>
      <w:pPr>
        <w:pStyle w:val="ListParagraph"/>
        <w:numPr>
          <w:ilvl w:val="0"/>
          <w:numId w:val="4"/>
        </w:numPr>
        <w:tabs>
          <w:tab w:pos="1182" w:val="left" w:leader="none"/>
        </w:tabs>
        <w:spacing w:line="240" w:lineRule="auto" w:before="120" w:after="0"/>
        <w:ind w:left="1181" w:right="0" w:hanging="360"/>
        <w:jc w:val="left"/>
        <w:rPr>
          <w:sz w:val="22"/>
        </w:rPr>
      </w:pPr>
      <w:r>
        <w:rPr>
          <w:i/>
          <w:sz w:val="22"/>
        </w:rPr>
        <w:t>Despartir </w:t>
      </w:r>
      <w:r>
        <w:rPr>
          <w:sz w:val="22"/>
        </w:rPr>
        <w:t>a. ant. Hablando de algunas cosas, separar, apartar y</w:t>
      </w:r>
      <w:r>
        <w:rPr>
          <w:spacing w:val="-14"/>
          <w:sz w:val="22"/>
        </w:rPr>
        <w:t> </w:t>
      </w:r>
      <w:r>
        <w:rPr>
          <w:sz w:val="22"/>
        </w:rPr>
        <w:t>dividir.</w:t>
      </w:r>
    </w:p>
    <w:p>
      <w:pPr>
        <w:pStyle w:val="BodyText"/>
        <w:spacing w:before="0"/>
        <w:rPr>
          <w:sz w:val="24"/>
        </w:rPr>
      </w:pPr>
    </w:p>
    <w:p>
      <w:pPr>
        <w:pStyle w:val="BodyText"/>
        <w:spacing w:before="10"/>
        <w:rPr>
          <w:sz w:val="18"/>
        </w:rPr>
      </w:pPr>
    </w:p>
    <w:p>
      <w:pPr>
        <w:pStyle w:val="BodyText"/>
        <w:spacing w:before="0"/>
        <w:ind w:left="101"/>
      </w:pPr>
      <w:r>
        <w:rPr/>
        <w:t>Ejemplo de lista 2:</w:t>
      </w:r>
    </w:p>
    <w:p>
      <w:pPr>
        <w:pStyle w:val="ListParagraph"/>
        <w:numPr>
          <w:ilvl w:val="1"/>
          <w:numId w:val="4"/>
        </w:numPr>
        <w:tabs>
          <w:tab w:pos="1182" w:val="left" w:leader="none"/>
        </w:tabs>
        <w:spacing w:line="240" w:lineRule="auto" w:before="119" w:after="0"/>
        <w:ind w:left="1181" w:right="0" w:hanging="360"/>
        <w:jc w:val="left"/>
        <w:rPr>
          <w:sz w:val="22"/>
        </w:rPr>
      </w:pPr>
      <w:r>
        <w:rPr>
          <w:i/>
          <w:sz w:val="22"/>
        </w:rPr>
        <w:t>Abajar</w:t>
      </w:r>
      <w:r>
        <w:rPr>
          <w:sz w:val="22"/>
        </w:rPr>
        <w:t>. Ant.</w:t>
      </w:r>
      <w:r>
        <w:rPr>
          <w:spacing w:val="-3"/>
          <w:sz w:val="22"/>
        </w:rPr>
        <w:t> </w:t>
      </w:r>
      <w:r>
        <w:rPr>
          <w:sz w:val="22"/>
        </w:rPr>
        <w:t>Bajar.</w:t>
      </w:r>
    </w:p>
    <w:p>
      <w:pPr>
        <w:pStyle w:val="ListParagraph"/>
        <w:numPr>
          <w:ilvl w:val="1"/>
          <w:numId w:val="4"/>
        </w:numPr>
        <w:tabs>
          <w:tab w:pos="1182" w:val="left" w:leader="none"/>
        </w:tabs>
        <w:spacing w:line="240" w:lineRule="auto" w:before="122" w:after="0"/>
        <w:ind w:left="1181" w:right="0" w:hanging="360"/>
        <w:jc w:val="left"/>
        <w:rPr>
          <w:sz w:val="22"/>
        </w:rPr>
      </w:pPr>
      <w:r>
        <w:rPr>
          <w:i/>
          <w:sz w:val="22"/>
        </w:rPr>
        <w:t>Burgués</w:t>
      </w:r>
      <w:r>
        <w:rPr>
          <w:sz w:val="22"/>
        </w:rPr>
        <w:t>, sa adj. ant. Perteneciente al burgo o</w:t>
      </w:r>
      <w:r>
        <w:rPr>
          <w:spacing w:val="-10"/>
          <w:sz w:val="22"/>
        </w:rPr>
        <w:t> </w:t>
      </w:r>
      <w:r>
        <w:rPr>
          <w:sz w:val="22"/>
        </w:rPr>
        <w:t>aldea.</w:t>
      </w:r>
    </w:p>
    <w:p>
      <w:pPr>
        <w:pStyle w:val="ListParagraph"/>
        <w:numPr>
          <w:ilvl w:val="1"/>
          <w:numId w:val="4"/>
        </w:numPr>
        <w:tabs>
          <w:tab w:pos="1182" w:val="left" w:leader="none"/>
        </w:tabs>
        <w:spacing w:line="240" w:lineRule="auto" w:before="119" w:after="0"/>
        <w:ind w:left="1181" w:right="0" w:hanging="360"/>
        <w:jc w:val="left"/>
        <w:rPr>
          <w:sz w:val="22"/>
        </w:rPr>
      </w:pPr>
      <w:r>
        <w:rPr>
          <w:i/>
          <w:sz w:val="22"/>
        </w:rPr>
        <w:t>Confriscar</w:t>
      </w:r>
      <w:r>
        <w:rPr>
          <w:sz w:val="22"/>
        </w:rPr>
        <w:t>. a. ant. Frotar,</w:t>
      </w:r>
      <w:r>
        <w:rPr>
          <w:spacing w:val="-7"/>
          <w:sz w:val="22"/>
        </w:rPr>
        <w:t> </w:t>
      </w:r>
      <w:r>
        <w:rPr>
          <w:sz w:val="22"/>
        </w:rPr>
        <w:t>estregar.</w:t>
      </w:r>
    </w:p>
    <w:p>
      <w:pPr>
        <w:pStyle w:val="ListParagraph"/>
        <w:numPr>
          <w:ilvl w:val="1"/>
          <w:numId w:val="4"/>
        </w:numPr>
        <w:tabs>
          <w:tab w:pos="1182" w:val="left" w:leader="none"/>
        </w:tabs>
        <w:spacing w:line="240" w:lineRule="auto" w:before="119" w:after="0"/>
        <w:ind w:left="1181" w:right="0" w:hanging="360"/>
        <w:jc w:val="left"/>
        <w:rPr>
          <w:sz w:val="22"/>
        </w:rPr>
      </w:pPr>
      <w:r>
        <w:rPr>
          <w:i/>
          <w:sz w:val="22"/>
        </w:rPr>
        <w:t>Despartir </w:t>
      </w:r>
      <w:r>
        <w:rPr>
          <w:sz w:val="22"/>
        </w:rPr>
        <w:t>a. ant. Hablando de algunas cosas, separar, apartar y</w:t>
      </w:r>
      <w:r>
        <w:rPr>
          <w:spacing w:val="-14"/>
          <w:sz w:val="22"/>
        </w:rPr>
        <w:t> </w:t>
      </w:r>
      <w:r>
        <w:rPr>
          <w:sz w:val="22"/>
        </w:rPr>
        <w:t>dividir.</w:t>
      </w:r>
    </w:p>
    <w:p>
      <w:pPr>
        <w:pStyle w:val="BodyText"/>
        <w:spacing w:before="0"/>
        <w:rPr>
          <w:sz w:val="24"/>
        </w:rPr>
      </w:pPr>
    </w:p>
    <w:p>
      <w:pPr>
        <w:pStyle w:val="BodyText"/>
        <w:spacing w:before="10"/>
        <w:rPr>
          <w:sz w:val="18"/>
        </w:rPr>
      </w:pPr>
    </w:p>
    <w:p>
      <w:pPr>
        <w:pStyle w:val="BodyText"/>
        <w:spacing w:before="0"/>
        <w:ind w:left="101"/>
      </w:pPr>
      <w:r>
        <w:rPr/>
        <w:t>Ejemplo de lista 3:</w:t>
      </w:r>
    </w:p>
    <w:p>
      <w:pPr>
        <w:pStyle w:val="ListParagraph"/>
        <w:numPr>
          <w:ilvl w:val="0"/>
          <w:numId w:val="5"/>
        </w:numPr>
        <w:tabs>
          <w:tab w:pos="1182" w:val="left" w:leader="none"/>
        </w:tabs>
        <w:spacing w:line="240" w:lineRule="auto" w:before="122" w:after="0"/>
        <w:ind w:left="1181" w:right="0" w:hanging="360"/>
        <w:jc w:val="left"/>
        <w:rPr>
          <w:sz w:val="22"/>
        </w:rPr>
      </w:pPr>
      <w:r>
        <w:rPr>
          <w:i/>
          <w:sz w:val="22"/>
        </w:rPr>
        <w:t>Abajar</w:t>
      </w:r>
      <w:r>
        <w:rPr>
          <w:sz w:val="22"/>
        </w:rPr>
        <w:t>. Ant.</w:t>
      </w:r>
      <w:r>
        <w:rPr>
          <w:spacing w:val="-3"/>
          <w:sz w:val="22"/>
        </w:rPr>
        <w:t> </w:t>
      </w:r>
      <w:r>
        <w:rPr>
          <w:sz w:val="22"/>
        </w:rPr>
        <w:t>Bajar.</w:t>
      </w:r>
    </w:p>
    <w:p>
      <w:pPr>
        <w:pStyle w:val="ListParagraph"/>
        <w:numPr>
          <w:ilvl w:val="0"/>
          <w:numId w:val="5"/>
        </w:numPr>
        <w:tabs>
          <w:tab w:pos="1183" w:val="left" w:leader="none"/>
        </w:tabs>
        <w:spacing w:line="240" w:lineRule="auto" w:before="119" w:after="0"/>
        <w:ind w:left="1182" w:right="0" w:hanging="360"/>
        <w:jc w:val="left"/>
        <w:rPr>
          <w:sz w:val="22"/>
        </w:rPr>
      </w:pPr>
      <w:r>
        <w:rPr>
          <w:i/>
          <w:sz w:val="22"/>
        </w:rPr>
        <w:t>Burgués</w:t>
      </w:r>
      <w:r>
        <w:rPr>
          <w:sz w:val="22"/>
        </w:rPr>
        <w:t>, sa adj. ant. Perteneciente al burgo o</w:t>
      </w:r>
      <w:r>
        <w:rPr>
          <w:spacing w:val="-10"/>
          <w:sz w:val="22"/>
        </w:rPr>
        <w:t> </w:t>
      </w:r>
      <w:r>
        <w:rPr>
          <w:sz w:val="22"/>
        </w:rPr>
        <w:t>aldea.</w:t>
      </w:r>
    </w:p>
    <w:p>
      <w:pPr>
        <w:pStyle w:val="ListParagraph"/>
        <w:numPr>
          <w:ilvl w:val="0"/>
          <w:numId w:val="5"/>
        </w:numPr>
        <w:tabs>
          <w:tab w:pos="1183" w:val="left" w:leader="none"/>
        </w:tabs>
        <w:spacing w:line="240" w:lineRule="auto" w:before="119" w:after="0"/>
        <w:ind w:left="1182" w:right="0" w:hanging="360"/>
        <w:jc w:val="left"/>
        <w:rPr>
          <w:sz w:val="22"/>
        </w:rPr>
      </w:pPr>
      <w:r>
        <w:rPr>
          <w:i/>
          <w:sz w:val="22"/>
        </w:rPr>
        <w:t>Confriscar</w:t>
      </w:r>
      <w:r>
        <w:rPr>
          <w:sz w:val="22"/>
        </w:rPr>
        <w:t>. a. ant. Frotar,</w:t>
      </w:r>
      <w:r>
        <w:rPr>
          <w:spacing w:val="-7"/>
          <w:sz w:val="22"/>
        </w:rPr>
        <w:t> </w:t>
      </w:r>
      <w:r>
        <w:rPr>
          <w:sz w:val="22"/>
        </w:rPr>
        <w:t>estregar.</w:t>
      </w:r>
    </w:p>
    <w:p>
      <w:pPr>
        <w:pStyle w:val="ListParagraph"/>
        <w:numPr>
          <w:ilvl w:val="0"/>
          <w:numId w:val="5"/>
        </w:numPr>
        <w:tabs>
          <w:tab w:pos="1183" w:val="left" w:leader="none"/>
        </w:tabs>
        <w:spacing w:line="240" w:lineRule="auto" w:before="122" w:after="0"/>
        <w:ind w:left="1182" w:right="0" w:hanging="360"/>
        <w:jc w:val="left"/>
        <w:rPr>
          <w:sz w:val="22"/>
        </w:rPr>
      </w:pPr>
      <w:r>
        <w:rPr>
          <w:i/>
          <w:sz w:val="22"/>
        </w:rPr>
        <w:t>Despartir </w:t>
      </w:r>
      <w:r>
        <w:rPr>
          <w:sz w:val="22"/>
        </w:rPr>
        <w:t>a. ant. Hablando de algunas cosas, separar, apartar y</w:t>
      </w:r>
      <w:r>
        <w:rPr>
          <w:spacing w:val="-14"/>
          <w:sz w:val="22"/>
        </w:rPr>
        <w:t> </w:t>
      </w:r>
      <w:r>
        <w:rPr>
          <w:sz w:val="22"/>
        </w:rPr>
        <w:t>dividir.</w:t>
      </w:r>
    </w:p>
    <w:p>
      <w:pPr>
        <w:pStyle w:val="BodyText"/>
        <w:spacing w:before="0"/>
        <w:rPr>
          <w:sz w:val="24"/>
        </w:rPr>
      </w:pPr>
    </w:p>
    <w:p>
      <w:pPr>
        <w:pStyle w:val="BodyText"/>
        <w:spacing w:before="10"/>
        <w:rPr>
          <w:sz w:val="18"/>
        </w:rPr>
      </w:pPr>
    </w:p>
    <w:p>
      <w:pPr>
        <w:pStyle w:val="BodyText"/>
        <w:spacing w:before="0"/>
        <w:ind w:left="102"/>
      </w:pPr>
      <w:r>
        <w:rPr/>
        <w:t>Ejemplo de lista 4:</w:t>
      </w:r>
    </w:p>
    <w:p>
      <w:pPr>
        <w:pStyle w:val="ListParagraph"/>
        <w:numPr>
          <w:ilvl w:val="0"/>
          <w:numId w:val="6"/>
        </w:numPr>
        <w:tabs>
          <w:tab w:pos="1182" w:val="left" w:leader="none"/>
          <w:tab w:pos="1183" w:val="left" w:leader="none"/>
        </w:tabs>
        <w:spacing w:line="240" w:lineRule="auto" w:before="118" w:after="0"/>
        <w:ind w:left="1182" w:right="0" w:hanging="360"/>
        <w:jc w:val="left"/>
        <w:rPr>
          <w:sz w:val="22"/>
        </w:rPr>
      </w:pPr>
      <w:r>
        <w:rPr>
          <w:i/>
          <w:sz w:val="22"/>
        </w:rPr>
        <w:t>Abajar</w:t>
      </w:r>
      <w:r>
        <w:rPr>
          <w:sz w:val="22"/>
        </w:rPr>
        <w:t>. Ant.</w:t>
      </w:r>
      <w:r>
        <w:rPr>
          <w:spacing w:val="-3"/>
          <w:sz w:val="22"/>
        </w:rPr>
        <w:t> </w:t>
      </w:r>
      <w:r>
        <w:rPr>
          <w:sz w:val="22"/>
        </w:rPr>
        <w:t>Bajar.</w:t>
      </w:r>
    </w:p>
    <w:p>
      <w:pPr>
        <w:pStyle w:val="ListParagraph"/>
        <w:numPr>
          <w:ilvl w:val="0"/>
          <w:numId w:val="6"/>
        </w:numPr>
        <w:tabs>
          <w:tab w:pos="1182" w:val="left" w:leader="none"/>
          <w:tab w:pos="1183" w:val="left" w:leader="none"/>
        </w:tabs>
        <w:spacing w:line="240" w:lineRule="auto" w:before="119" w:after="0"/>
        <w:ind w:left="1182" w:right="0" w:hanging="360"/>
        <w:jc w:val="left"/>
        <w:rPr>
          <w:sz w:val="22"/>
        </w:rPr>
      </w:pPr>
      <w:r>
        <w:rPr>
          <w:i/>
          <w:sz w:val="22"/>
        </w:rPr>
        <w:t>Burgués</w:t>
      </w:r>
      <w:r>
        <w:rPr>
          <w:sz w:val="22"/>
        </w:rPr>
        <w:t>, sa adj. ant. Perteneciente al burgo o</w:t>
      </w:r>
      <w:r>
        <w:rPr>
          <w:spacing w:val="-10"/>
          <w:sz w:val="22"/>
        </w:rPr>
        <w:t> </w:t>
      </w:r>
      <w:r>
        <w:rPr>
          <w:sz w:val="22"/>
        </w:rPr>
        <w:t>aldea.</w:t>
      </w:r>
    </w:p>
    <w:p>
      <w:pPr>
        <w:pStyle w:val="ListParagraph"/>
        <w:numPr>
          <w:ilvl w:val="0"/>
          <w:numId w:val="6"/>
        </w:numPr>
        <w:tabs>
          <w:tab w:pos="1182" w:val="left" w:leader="none"/>
          <w:tab w:pos="1184" w:val="left" w:leader="none"/>
        </w:tabs>
        <w:spacing w:line="240" w:lineRule="auto" w:before="119" w:after="0"/>
        <w:ind w:left="1183" w:right="0" w:hanging="361"/>
        <w:jc w:val="left"/>
        <w:rPr>
          <w:sz w:val="22"/>
        </w:rPr>
      </w:pPr>
      <w:r>
        <w:rPr>
          <w:i/>
          <w:sz w:val="22"/>
        </w:rPr>
        <w:t>Confriscar</w:t>
      </w:r>
      <w:r>
        <w:rPr>
          <w:sz w:val="22"/>
        </w:rPr>
        <w:t>. a. ant. Frotar,</w:t>
      </w:r>
      <w:r>
        <w:rPr>
          <w:spacing w:val="-7"/>
          <w:sz w:val="22"/>
        </w:rPr>
        <w:t> </w:t>
      </w:r>
      <w:r>
        <w:rPr>
          <w:sz w:val="22"/>
        </w:rPr>
        <w:t>estregar.</w:t>
      </w:r>
    </w:p>
    <w:p>
      <w:pPr>
        <w:pStyle w:val="ListParagraph"/>
        <w:numPr>
          <w:ilvl w:val="0"/>
          <w:numId w:val="6"/>
        </w:numPr>
        <w:tabs>
          <w:tab w:pos="1182" w:val="left" w:leader="none"/>
          <w:tab w:pos="1184" w:val="left" w:leader="none"/>
        </w:tabs>
        <w:spacing w:line="240" w:lineRule="auto" w:before="120" w:after="0"/>
        <w:ind w:left="1183" w:right="0" w:hanging="361"/>
        <w:jc w:val="left"/>
        <w:rPr>
          <w:sz w:val="22"/>
        </w:rPr>
      </w:pPr>
      <w:r>
        <w:rPr>
          <w:i/>
          <w:sz w:val="22"/>
        </w:rPr>
        <w:t>Despartir </w:t>
      </w:r>
      <w:r>
        <w:rPr>
          <w:sz w:val="22"/>
        </w:rPr>
        <w:t>a. ant. Hablando de algunas cosas, separar, apartar y</w:t>
      </w:r>
      <w:r>
        <w:rPr>
          <w:spacing w:val="-14"/>
          <w:sz w:val="22"/>
        </w:rPr>
        <w:t> </w:t>
      </w:r>
      <w:r>
        <w:rPr>
          <w:sz w:val="22"/>
        </w:rPr>
        <w:t>dividir.</w:t>
      </w:r>
    </w:p>
    <w:p>
      <w:pPr>
        <w:pStyle w:val="BodyText"/>
        <w:spacing w:before="0"/>
        <w:rPr>
          <w:sz w:val="26"/>
        </w:rPr>
      </w:pPr>
    </w:p>
    <w:p>
      <w:pPr>
        <w:pStyle w:val="ListParagraph"/>
        <w:numPr>
          <w:ilvl w:val="0"/>
          <w:numId w:val="1"/>
        </w:numPr>
        <w:tabs>
          <w:tab w:pos="823" w:val="left" w:leader="none"/>
        </w:tabs>
        <w:spacing w:line="240" w:lineRule="auto" w:before="194" w:after="0"/>
        <w:ind w:left="823" w:right="215" w:hanging="360"/>
        <w:jc w:val="both"/>
        <w:rPr>
          <w:sz w:val="22"/>
        </w:rPr>
      </w:pPr>
      <w:r>
        <w:rPr>
          <w:sz w:val="22"/>
        </w:rPr>
        <w:t>Los mapas, las gráficas y, las imágenes y las figuras deberán estar en formato electrónico y adjuntarse en una carpeta exclusiva, numeradas correlativamente en el mismo orden en el que aparezcan en el manuscrito. Dentro del manuscrito, se dará un título</w:t>
      </w:r>
      <w:r>
        <w:rPr>
          <w:spacing w:val="27"/>
          <w:sz w:val="22"/>
        </w:rPr>
        <w:t> </w:t>
      </w:r>
      <w:r>
        <w:rPr>
          <w:sz w:val="22"/>
        </w:rPr>
        <w:t>específico</w:t>
      </w:r>
      <w:r>
        <w:rPr>
          <w:spacing w:val="28"/>
          <w:sz w:val="22"/>
        </w:rPr>
        <w:t> </w:t>
      </w:r>
      <w:r>
        <w:rPr>
          <w:sz w:val="22"/>
        </w:rPr>
        <w:t>a</w:t>
      </w:r>
      <w:r>
        <w:rPr>
          <w:spacing w:val="31"/>
          <w:sz w:val="22"/>
        </w:rPr>
        <w:t> </w:t>
      </w:r>
      <w:r>
        <w:rPr>
          <w:sz w:val="22"/>
        </w:rPr>
        <w:t>cada</w:t>
      </w:r>
      <w:r>
        <w:rPr>
          <w:spacing w:val="28"/>
          <w:sz w:val="22"/>
        </w:rPr>
        <w:t> </w:t>
      </w:r>
      <w:r>
        <w:rPr>
          <w:sz w:val="22"/>
        </w:rPr>
        <w:t>una</w:t>
      </w:r>
      <w:r>
        <w:rPr>
          <w:spacing w:val="30"/>
          <w:sz w:val="22"/>
        </w:rPr>
        <w:t> </w:t>
      </w:r>
      <w:r>
        <w:rPr>
          <w:sz w:val="22"/>
        </w:rPr>
        <w:t>de</w:t>
      </w:r>
      <w:r>
        <w:rPr>
          <w:spacing w:val="29"/>
          <w:sz w:val="22"/>
        </w:rPr>
        <w:t> </w:t>
      </w:r>
      <w:r>
        <w:rPr>
          <w:sz w:val="22"/>
        </w:rPr>
        <w:t>ellas,</w:t>
      </w:r>
      <w:r>
        <w:rPr>
          <w:spacing w:val="30"/>
          <w:sz w:val="22"/>
        </w:rPr>
        <w:t> </w:t>
      </w:r>
      <w:r>
        <w:rPr>
          <w:sz w:val="22"/>
        </w:rPr>
        <w:t>que</w:t>
      </w:r>
      <w:r>
        <w:rPr>
          <w:spacing w:val="28"/>
          <w:sz w:val="22"/>
        </w:rPr>
        <w:t> </w:t>
      </w:r>
      <w:r>
        <w:rPr>
          <w:sz w:val="22"/>
        </w:rPr>
        <w:t>irá</w:t>
      </w:r>
      <w:r>
        <w:rPr>
          <w:spacing w:val="29"/>
          <w:sz w:val="22"/>
        </w:rPr>
        <w:t> </w:t>
      </w:r>
      <w:r>
        <w:rPr>
          <w:sz w:val="22"/>
        </w:rPr>
        <w:t>en</w:t>
      </w:r>
      <w:r>
        <w:rPr>
          <w:spacing w:val="30"/>
          <w:sz w:val="22"/>
        </w:rPr>
        <w:t> </w:t>
      </w:r>
      <w:r>
        <w:rPr>
          <w:sz w:val="22"/>
        </w:rPr>
        <w:t>el</w:t>
      </w:r>
      <w:r>
        <w:rPr>
          <w:spacing w:val="32"/>
          <w:sz w:val="22"/>
        </w:rPr>
        <w:t> </w:t>
      </w:r>
      <w:r>
        <w:rPr>
          <w:sz w:val="22"/>
        </w:rPr>
        <w:t>pie</w:t>
      </w:r>
      <w:r>
        <w:rPr>
          <w:spacing w:val="30"/>
          <w:sz w:val="22"/>
        </w:rPr>
        <w:t> </w:t>
      </w:r>
      <w:r>
        <w:rPr>
          <w:sz w:val="22"/>
        </w:rPr>
        <w:t>de</w:t>
      </w:r>
      <w:r>
        <w:rPr>
          <w:spacing w:val="28"/>
          <w:sz w:val="22"/>
        </w:rPr>
        <w:t> </w:t>
      </w:r>
      <w:r>
        <w:rPr>
          <w:sz w:val="22"/>
        </w:rPr>
        <w:t>la</w:t>
      </w:r>
      <w:r>
        <w:rPr>
          <w:spacing w:val="29"/>
          <w:sz w:val="22"/>
        </w:rPr>
        <w:t> </w:t>
      </w:r>
      <w:r>
        <w:rPr>
          <w:sz w:val="22"/>
        </w:rPr>
        <w:t>imagen</w:t>
      </w:r>
      <w:r>
        <w:rPr>
          <w:spacing w:val="30"/>
          <w:sz w:val="22"/>
        </w:rPr>
        <w:t> </w:t>
      </w:r>
      <w:r>
        <w:rPr>
          <w:sz w:val="22"/>
        </w:rPr>
        <w:t>y</w:t>
      </w:r>
      <w:r>
        <w:rPr>
          <w:spacing w:val="27"/>
          <w:sz w:val="22"/>
        </w:rPr>
        <w:t> </w:t>
      </w:r>
      <w:r>
        <w:rPr>
          <w:sz w:val="22"/>
        </w:rPr>
        <w:t>numerado.</w:t>
      </w:r>
      <w:r>
        <w:rPr>
          <w:spacing w:val="31"/>
          <w:sz w:val="22"/>
        </w:rPr>
        <w:t> </w:t>
      </w:r>
      <w:r>
        <w:rPr>
          <w:sz w:val="22"/>
        </w:rPr>
        <w:t>En</w:t>
      </w:r>
    </w:p>
    <w:p>
      <w:pPr>
        <w:spacing w:after="0" w:line="240" w:lineRule="auto"/>
        <w:jc w:val="both"/>
        <w:rPr>
          <w:sz w:val="22"/>
        </w:rPr>
        <w:sectPr>
          <w:pgSz w:w="11910" w:h="16840"/>
          <w:pgMar w:top="1320" w:bottom="280" w:left="1600" w:right="1480"/>
        </w:sectPr>
      </w:pPr>
    </w:p>
    <w:p>
      <w:pPr>
        <w:pStyle w:val="BodyText"/>
        <w:spacing w:before="71"/>
        <w:ind w:left="821" w:right="215"/>
        <w:jc w:val="both"/>
      </w:pPr>
      <w:r>
        <w:rPr/>
        <w:t>todos los casos, el cuerpo del texto deberá hacer referencia a las imágenes que se inserten en él. En la maquetación, se emplearán tres tamaños de imágenes: a página completa (12 cm), a tres cuartos (9 cm) y mitad de página (6 cm). Para esos tamaños, la resolución de las imágenes deberá ser siempre de un mínimo de 300 ppp. Las gráficas que se hayan realizado en algún programa específico se enviarán en los archivos originales, no en jpg.</w:t>
      </w:r>
    </w:p>
    <w:p>
      <w:pPr>
        <w:pStyle w:val="ListParagraph"/>
        <w:numPr>
          <w:ilvl w:val="0"/>
          <w:numId w:val="1"/>
        </w:numPr>
        <w:tabs>
          <w:tab w:pos="822" w:val="left" w:leader="none"/>
        </w:tabs>
        <w:spacing w:line="240" w:lineRule="auto" w:before="121" w:after="0"/>
        <w:ind w:left="821" w:right="215" w:hanging="360"/>
        <w:jc w:val="both"/>
        <w:rPr>
          <w:sz w:val="22"/>
        </w:rPr>
      </w:pPr>
      <w:r>
        <w:rPr>
          <w:sz w:val="22"/>
        </w:rPr>
        <w:t>Las citas bibliográficas que se hagan en el texto o en las notas constarán de apellido del autor y año de publicación entre paréntesis; si es necesario, se añadirá la página o páginas en cuestión; en este caso, tras el año aparecerán dos puntos y a renglón seguido la información sobre páginas. Ejemplos: «Como ya indicó Lapesa (1980: 231) la expresividad en Berceo...», </w:t>
      </w:r>
      <w:r>
        <w:rPr>
          <w:spacing w:val="-3"/>
          <w:sz w:val="22"/>
        </w:rPr>
        <w:t>«No </w:t>
      </w:r>
      <w:r>
        <w:rPr>
          <w:sz w:val="22"/>
        </w:rPr>
        <w:t>había la separación actual entre las incongruencias del habla y el rigor de la escritura» (Lapesa 1980: 214)», «Es cuestión compleja la relación entre oralidad y escritura en los primeros textos medievales (cf. Lapesa 1980: 211- 219)...». La indicación cf. (no cfr.) aparecerá si la referencia no es</w:t>
      </w:r>
      <w:r>
        <w:rPr>
          <w:spacing w:val="-16"/>
          <w:sz w:val="22"/>
        </w:rPr>
        <w:t> </w:t>
      </w:r>
      <w:r>
        <w:rPr>
          <w:sz w:val="22"/>
        </w:rPr>
        <w:t>literal</w:t>
      </w:r>
    </w:p>
    <w:p>
      <w:pPr>
        <w:pStyle w:val="ListParagraph"/>
        <w:numPr>
          <w:ilvl w:val="0"/>
          <w:numId w:val="1"/>
        </w:numPr>
        <w:tabs>
          <w:tab w:pos="822" w:val="left" w:leader="none"/>
        </w:tabs>
        <w:spacing w:line="240" w:lineRule="auto" w:before="119" w:after="0"/>
        <w:ind w:left="821" w:right="217" w:hanging="360"/>
        <w:jc w:val="both"/>
        <w:rPr>
          <w:sz w:val="22"/>
        </w:rPr>
      </w:pPr>
      <w:r>
        <w:rPr>
          <w:sz w:val="22"/>
        </w:rPr>
        <w:t>La bibliografía deberá figurar al final de los trabajos, y en ella se incluirán exclusivamente las obras citadas en el texto o en las</w:t>
      </w:r>
      <w:r>
        <w:rPr>
          <w:spacing w:val="-10"/>
          <w:sz w:val="22"/>
        </w:rPr>
        <w:t> </w:t>
      </w:r>
      <w:r>
        <w:rPr>
          <w:sz w:val="22"/>
        </w:rPr>
        <w:t>notas:</w:t>
      </w:r>
    </w:p>
    <w:p>
      <w:pPr>
        <w:pStyle w:val="ListParagraph"/>
        <w:numPr>
          <w:ilvl w:val="0"/>
          <w:numId w:val="7"/>
        </w:numPr>
        <w:tabs>
          <w:tab w:pos="1244" w:val="left" w:leader="none"/>
        </w:tabs>
        <w:spacing w:line="240" w:lineRule="auto" w:before="121" w:after="0"/>
        <w:ind w:left="1095" w:right="217" w:firstLine="0"/>
        <w:jc w:val="both"/>
        <w:rPr>
          <w:sz w:val="22"/>
        </w:rPr>
      </w:pPr>
      <w:r>
        <w:rPr>
          <w:sz w:val="22"/>
        </w:rPr>
        <w:t>Las entradas de libros tendrán la siguiente estructura: apellido(s), nombre de pila completo, y año de publicación (entre paréntesis). Si hay varias publicaciones el mismo año, se distinguirán por letras redondas añadidas al año de publicación. Después, tras dos puntos, el título del libro en cursiva; tras punto, la ciudad, y tras dos puntos la casa editora. La edición posterior a la primera se indicará con el número correspondiente en superíndice adjuntado al año. La edición moderna de un texto antiguo añadirá entre corchetes el año de publicación inicial.</w:t>
      </w:r>
      <w:r>
        <w:rPr>
          <w:spacing w:val="-13"/>
          <w:sz w:val="22"/>
        </w:rPr>
        <w:t> </w:t>
      </w:r>
      <w:r>
        <w:rPr>
          <w:sz w:val="22"/>
        </w:rPr>
        <w:t>Ejemplos:</w:t>
      </w:r>
    </w:p>
    <w:p>
      <w:pPr>
        <w:spacing w:before="115"/>
        <w:ind w:left="1095" w:right="0" w:firstLine="0"/>
        <w:jc w:val="both"/>
        <w:rPr>
          <w:sz w:val="22"/>
        </w:rPr>
      </w:pPr>
      <w:r>
        <w:rPr>
          <w:sz w:val="22"/>
        </w:rPr>
        <w:t>Lapesa, Rafael (1980</w:t>
      </w:r>
      <w:r>
        <w:rPr>
          <w:position w:val="8"/>
          <w:sz w:val="14"/>
        </w:rPr>
        <w:t>8</w:t>
      </w:r>
      <w:r>
        <w:rPr>
          <w:sz w:val="22"/>
        </w:rPr>
        <w:t>): </w:t>
      </w:r>
      <w:r>
        <w:rPr>
          <w:i/>
          <w:sz w:val="22"/>
        </w:rPr>
        <w:t>Historia de la lengua española</w:t>
      </w:r>
      <w:r>
        <w:rPr>
          <w:sz w:val="22"/>
        </w:rPr>
        <w:t>. Madrid: Gredos</w:t>
      </w:r>
    </w:p>
    <w:p>
      <w:pPr>
        <w:spacing w:before="119"/>
        <w:ind w:left="1095" w:right="218" w:firstLine="0"/>
        <w:jc w:val="both"/>
        <w:rPr>
          <w:sz w:val="22"/>
        </w:rPr>
      </w:pPr>
      <w:r>
        <w:rPr>
          <w:sz w:val="22"/>
        </w:rPr>
        <w:t>Real Academia Española (1984 [1771]): </w:t>
      </w:r>
      <w:r>
        <w:rPr>
          <w:i/>
          <w:sz w:val="22"/>
        </w:rPr>
        <w:t>Gramática de la lengua castellana</w:t>
      </w:r>
      <w:r>
        <w:rPr>
          <w:sz w:val="22"/>
        </w:rPr>
        <w:t>. Madrid: Espasa Calpe</w:t>
      </w:r>
    </w:p>
    <w:p>
      <w:pPr>
        <w:pStyle w:val="ListParagraph"/>
        <w:numPr>
          <w:ilvl w:val="0"/>
          <w:numId w:val="7"/>
        </w:numPr>
        <w:tabs>
          <w:tab w:pos="1297" w:val="left" w:leader="none"/>
        </w:tabs>
        <w:spacing w:line="240" w:lineRule="auto" w:before="121" w:after="0"/>
        <w:ind w:left="1095" w:right="216" w:firstLine="0"/>
        <w:jc w:val="both"/>
        <w:rPr>
          <w:sz w:val="22"/>
        </w:rPr>
      </w:pPr>
      <w:r>
        <w:rPr>
          <w:sz w:val="22"/>
        </w:rPr>
        <w:t>Si se trata de un artículo, apellido(s), nombre(s) de pila completo, año de publicación entre paréntesis, tras dos puntos título del artículo en redonda y entrecomillado latino, nombre de la revista en cursiva, y páginas inicial y final. Ejemplo:</w:t>
      </w:r>
    </w:p>
    <w:p>
      <w:pPr>
        <w:pStyle w:val="BodyText"/>
        <w:spacing w:before="121"/>
        <w:ind w:left="1095" w:right="218"/>
        <w:jc w:val="both"/>
      </w:pPr>
      <w:r>
        <w:rPr/>
        <w:t>Morreale, Margherita (1975): «Para la transcripción de textos medievales: el problema llamado de la unión y separación de las palabras», </w:t>
      </w:r>
      <w:r>
        <w:rPr>
          <w:i/>
        </w:rPr>
        <w:t>Romanica</w:t>
      </w:r>
      <w:r>
        <w:rPr/>
        <w:t>, 8, 49-74.</w:t>
      </w:r>
    </w:p>
    <w:p>
      <w:pPr>
        <w:pStyle w:val="ListParagraph"/>
        <w:numPr>
          <w:ilvl w:val="0"/>
          <w:numId w:val="7"/>
        </w:numPr>
        <w:tabs>
          <w:tab w:pos="1223" w:val="left" w:leader="none"/>
        </w:tabs>
        <w:spacing w:line="240" w:lineRule="auto" w:before="118" w:after="0"/>
        <w:ind w:left="1095" w:right="216" w:firstLine="0"/>
        <w:jc w:val="both"/>
        <w:rPr>
          <w:sz w:val="22"/>
        </w:rPr>
      </w:pPr>
      <w:r>
        <w:rPr>
          <w:sz w:val="22"/>
        </w:rPr>
        <w:t>Cuando la revista tenga número y volumen, el volumen se indicará entre paréntesis. Ejemplo:</w:t>
      </w:r>
    </w:p>
    <w:p>
      <w:pPr>
        <w:pStyle w:val="BodyText"/>
        <w:spacing w:before="120"/>
        <w:ind w:left="1095" w:right="218"/>
        <w:jc w:val="both"/>
      </w:pPr>
      <w:r>
        <w:rPr/>
        <w:t>Morreale, Margherita (1975): «Para la transcripción de textos medievales: el problema llamado de la unión y separación de las palabras», </w:t>
      </w:r>
      <w:r>
        <w:rPr>
          <w:i/>
        </w:rPr>
        <w:t>Romanica</w:t>
      </w:r>
      <w:r>
        <w:rPr/>
        <w:t>, 8 (2), 49-74.</w:t>
      </w:r>
    </w:p>
    <w:p>
      <w:pPr>
        <w:pStyle w:val="ListParagraph"/>
        <w:numPr>
          <w:ilvl w:val="0"/>
          <w:numId w:val="7"/>
        </w:numPr>
        <w:tabs>
          <w:tab w:pos="1228" w:val="left" w:leader="none"/>
        </w:tabs>
        <w:spacing w:line="240" w:lineRule="auto" w:before="121" w:after="0"/>
        <w:ind w:left="1095" w:right="216" w:firstLine="0"/>
        <w:jc w:val="both"/>
        <w:rPr>
          <w:sz w:val="22"/>
        </w:rPr>
      </w:pPr>
      <w:r>
        <w:rPr>
          <w:sz w:val="22"/>
        </w:rPr>
        <w:t>Si se trata de un trabajo publicado en un volumen colectivo: apellido(s), nombre(s) de pila, año de publicación (entre paréntesis), tras dos puntos título en redonda y entrecomillado, título del volumen colectivo en cursiva, nombre del editor o editores, número del volumen y páginas inicial y final del trabajo, ciudad y casa editora. Ejemplos:</w:t>
      </w:r>
    </w:p>
    <w:p>
      <w:pPr>
        <w:spacing w:before="119"/>
        <w:ind w:left="1095" w:right="217" w:firstLine="0"/>
        <w:jc w:val="both"/>
        <w:rPr>
          <w:sz w:val="22"/>
        </w:rPr>
      </w:pPr>
      <w:r>
        <w:rPr>
          <w:sz w:val="22"/>
        </w:rPr>
        <w:t>Orduna, Germán (1999): «La textualidad oral del discurso narrativo en España e Hispanoamérica (ss. XIV-XVII)», en Milagros Aleza (ed.), </w:t>
      </w:r>
      <w:r>
        <w:rPr>
          <w:i/>
          <w:sz w:val="22"/>
        </w:rPr>
        <w:t>Estudios de historia de la </w:t>
      </w:r>
      <w:r>
        <w:rPr>
          <w:i/>
          <w:sz w:val="22"/>
        </w:rPr>
        <w:t>lengua española en América y España</w:t>
      </w:r>
      <w:r>
        <w:rPr>
          <w:sz w:val="22"/>
        </w:rPr>
        <w:t>. Valencia: Universitat de València, 9-25</w:t>
      </w:r>
    </w:p>
    <w:p>
      <w:pPr>
        <w:spacing w:before="120"/>
        <w:ind w:left="1095" w:right="217" w:firstLine="0"/>
        <w:jc w:val="both"/>
        <w:rPr>
          <w:sz w:val="22"/>
        </w:rPr>
      </w:pPr>
      <w:r>
        <w:rPr>
          <w:sz w:val="22"/>
        </w:rPr>
        <w:t>Lapesa, Rafael (1992): «La interpolación caribeña del sujeto en las oraciones interrogativas», en Manuel Ariza </w:t>
      </w:r>
      <w:r>
        <w:rPr>
          <w:i/>
          <w:sz w:val="22"/>
        </w:rPr>
        <w:t>et al</w:t>
      </w:r>
      <w:r>
        <w:rPr>
          <w:sz w:val="22"/>
        </w:rPr>
        <w:t>. (eds.), </w:t>
      </w:r>
      <w:r>
        <w:rPr>
          <w:i/>
          <w:sz w:val="22"/>
        </w:rPr>
        <w:t>Actas del II Congreso Internacional de </w:t>
      </w:r>
      <w:r>
        <w:rPr>
          <w:i/>
          <w:sz w:val="22"/>
        </w:rPr>
        <w:t>Historia de la Lengua Española</w:t>
      </w:r>
      <w:r>
        <w:rPr>
          <w:sz w:val="22"/>
        </w:rPr>
        <w:t>, I. Sevilla: Pabellón de España, 545-553 (ahora en Rafael Lapesa (1996): </w:t>
      </w:r>
      <w:r>
        <w:rPr>
          <w:i/>
          <w:sz w:val="22"/>
        </w:rPr>
        <w:t>El español moderno y contemporáneo. Estudios lingüísticos</w:t>
      </w:r>
      <w:r>
        <w:rPr>
          <w:sz w:val="22"/>
        </w:rPr>
        <w:t>. Barcelona: Crítica, 305-316)</w:t>
      </w:r>
    </w:p>
    <w:sectPr>
      <w:pgSz w:w="11910" w:h="16840"/>
      <w:pgMar w:top="1320" w:bottom="280" w:left="160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095" w:hanging="149"/>
      </w:pPr>
      <w:rPr>
        <w:rFonts w:hint="default" w:ascii="Times New Roman" w:hAnsi="Times New Roman" w:eastAsia="Times New Roman" w:cs="Times New Roman"/>
        <w:w w:val="100"/>
        <w:sz w:val="22"/>
        <w:szCs w:val="22"/>
        <w:lang w:val="es-ES" w:eastAsia="es-ES" w:bidi="es-ES"/>
      </w:rPr>
    </w:lvl>
    <w:lvl w:ilvl="1">
      <w:start w:val="0"/>
      <w:numFmt w:val="bullet"/>
      <w:lvlText w:val="•"/>
      <w:lvlJc w:val="left"/>
      <w:pPr>
        <w:ind w:left="1872" w:hanging="149"/>
      </w:pPr>
      <w:rPr>
        <w:rFonts w:hint="default"/>
        <w:lang w:val="es-ES" w:eastAsia="es-ES" w:bidi="es-ES"/>
      </w:rPr>
    </w:lvl>
    <w:lvl w:ilvl="2">
      <w:start w:val="0"/>
      <w:numFmt w:val="bullet"/>
      <w:lvlText w:val="•"/>
      <w:lvlJc w:val="left"/>
      <w:pPr>
        <w:ind w:left="2645" w:hanging="149"/>
      </w:pPr>
      <w:rPr>
        <w:rFonts w:hint="default"/>
        <w:lang w:val="es-ES" w:eastAsia="es-ES" w:bidi="es-ES"/>
      </w:rPr>
    </w:lvl>
    <w:lvl w:ilvl="3">
      <w:start w:val="0"/>
      <w:numFmt w:val="bullet"/>
      <w:lvlText w:val="•"/>
      <w:lvlJc w:val="left"/>
      <w:pPr>
        <w:ind w:left="3417" w:hanging="149"/>
      </w:pPr>
      <w:rPr>
        <w:rFonts w:hint="default"/>
        <w:lang w:val="es-ES" w:eastAsia="es-ES" w:bidi="es-ES"/>
      </w:rPr>
    </w:lvl>
    <w:lvl w:ilvl="4">
      <w:start w:val="0"/>
      <w:numFmt w:val="bullet"/>
      <w:lvlText w:val="•"/>
      <w:lvlJc w:val="left"/>
      <w:pPr>
        <w:ind w:left="4190" w:hanging="149"/>
      </w:pPr>
      <w:rPr>
        <w:rFonts w:hint="default"/>
        <w:lang w:val="es-ES" w:eastAsia="es-ES" w:bidi="es-ES"/>
      </w:rPr>
    </w:lvl>
    <w:lvl w:ilvl="5">
      <w:start w:val="0"/>
      <w:numFmt w:val="bullet"/>
      <w:lvlText w:val="•"/>
      <w:lvlJc w:val="left"/>
      <w:pPr>
        <w:ind w:left="4963" w:hanging="149"/>
      </w:pPr>
      <w:rPr>
        <w:rFonts w:hint="default"/>
        <w:lang w:val="es-ES" w:eastAsia="es-ES" w:bidi="es-ES"/>
      </w:rPr>
    </w:lvl>
    <w:lvl w:ilvl="6">
      <w:start w:val="0"/>
      <w:numFmt w:val="bullet"/>
      <w:lvlText w:val="•"/>
      <w:lvlJc w:val="left"/>
      <w:pPr>
        <w:ind w:left="5735" w:hanging="149"/>
      </w:pPr>
      <w:rPr>
        <w:rFonts w:hint="default"/>
        <w:lang w:val="es-ES" w:eastAsia="es-ES" w:bidi="es-ES"/>
      </w:rPr>
    </w:lvl>
    <w:lvl w:ilvl="7">
      <w:start w:val="0"/>
      <w:numFmt w:val="bullet"/>
      <w:lvlText w:val="•"/>
      <w:lvlJc w:val="left"/>
      <w:pPr>
        <w:ind w:left="6508" w:hanging="149"/>
      </w:pPr>
      <w:rPr>
        <w:rFonts w:hint="default"/>
        <w:lang w:val="es-ES" w:eastAsia="es-ES" w:bidi="es-ES"/>
      </w:rPr>
    </w:lvl>
    <w:lvl w:ilvl="8">
      <w:start w:val="0"/>
      <w:numFmt w:val="bullet"/>
      <w:lvlText w:val="•"/>
      <w:lvlJc w:val="left"/>
      <w:pPr>
        <w:ind w:left="7281" w:hanging="149"/>
      </w:pPr>
      <w:rPr>
        <w:rFonts w:hint="default"/>
        <w:lang w:val="es-ES" w:eastAsia="es-ES" w:bidi="es-ES"/>
      </w:rPr>
    </w:lvl>
  </w:abstractNum>
  <w:abstractNum w:abstractNumId="5">
    <w:multiLevelType w:val="hybridMultilevel"/>
    <w:lvl w:ilvl="0">
      <w:start w:val="0"/>
      <w:numFmt w:val="bullet"/>
      <w:lvlText w:val=""/>
      <w:lvlJc w:val="left"/>
      <w:pPr>
        <w:ind w:left="1182" w:hanging="361"/>
      </w:pPr>
      <w:rPr>
        <w:rFonts w:hint="default" w:ascii="Symbol" w:hAnsi="Symbol" w:eastAsia="Symbol" w:cs="Symbol"/>
        <w:w w:val="100"/>
        <w:sz w:val="22"/>
        <w:szCs w:val="22"/>
        <w:lang w:val="es-ES" w:eastAsia="es-ES" w:bidi="es-ES"/>
      </w:rPr>
    </w:lvl>
    <w:lvl w:ilvl="1">
      <w:start w:val="0"/>
      <w:numFmt w:val="bullet"/>
      <w:lvlText w:val="•"/>
      <w:lvlJc w:val="left"/>
      <w:pPr>
        <w:ind w:left="1944" w:hanging="361"/>
      </w:pPr>
      <w:rPr>
        <w:rFonts w:hint="default"/>
        <w:lang w:val="es-ES" w:eastAsia="es-ES" w:bidi="es-ES"/>
      </w:rPr>
    </w:lvl>
    <w:lvl w:ilvl="2">
      <w:start w:val="0"/>
      <w:numFmt w:val="bullet"/>
      <w:lvlText w:val="•"/>
      <w:lvlJc w:val="left"/>
      <w:pPr>
        <w:ind w:left="2709" w:hanging="361"/>
      </w:pPr>
      <w:rPr>
        <w:rFonts w:hint="default"/>
        <w:lang w:val="es-ES" w:eastAsia="es-ES" w:bidi="es-ES"/>
      </w:rPr>
    </w:lvl>
    <w:lvl w:ilvl="3">
      <w:start w:val="0"/>
      <w:numFmt w:val="bullet"/>
      <w:lvlText w:val="•"/>
      <w:lvlJc w:val="left"/>
      <w:pPr>
        <w:ind w:left="3473" w:hanging="361"/>
      </w:pPr>
      <w:rPr>
        <w:rFonts w:hint="default"/>
        <w:lang w:val="es-ES" w:eastAsia="es-ES" w:bidi="es-ES"/>
      </w:rPr>
    </w:lvl>
    <w:lvl w:ilvl="4">
      <w:start w:val="0"/>
      <w:numFmt w:val="bullet"/>
      <w:lvlText w:val="•"/>
      <w:lvlJc w:val="left"/>
      <w:pPr>
        <w:ind w:left="4238" w:hanging="361"/>
      </w:pPr>
      <w:rPr>
        <w:rFonts w:hint="default"/>
        <w:lang w:val="es-ES" w:eastAsia="es-ES" w:bidi="es-ES"/>
      </w:rPr>
    </w:lvl>
    <w:lvl w:ilvl="5">
      <w:start w:val="0"/>
      <w:numFmt w:val="bullet"/>
      <w:lvlText w:val="•"/>
      <w:lvlJc w:val="left"/>
      <w:pPr>
        <w:ind w:left="5003" w:hanging="361"/>
      </w:pPr>
      <w:rPr>
        <w:rFonts w:hint="default"/>
        <w:lang w:val="es-ES" w:eastAsia="es-ES" w:bidi="es-ES"/>
      </w:rPr>
    </w:lvl>
    <w:lvl w:ilvl="6">
      <w:start w:val="0"/>
      <w:numFmt w:val="bullet"/>
      <w:lvlText w:val="•"/>
      <w:lvlJc w:val="left"/>
      <w:pPr>
        <w:ind w:left="5767" w:hanging="361"/>
      </w:pPr>
      <w:rPr>
        <w:rFonts w:hint="default"/>
        <w:lang w:val="es-ES" w:eastAsia="es-ES" w:bidi="es-ES"/>
      </w:rPr>
    </w:lvl>
    <w:lvl w:ilvl="7">
      <w:start w:val="0"/>
      <w:numFmt w:val="bullet"/>
      <w:lvlText w:val="•"/>
      <w:lvlJc w:val="left"/>
      <w:pPr>
        <w:ind w:left="6532" w:hanging="361"/>
      </w:pPr>
      <w:rPr>
        <w:rFonts w:hint="default"/>
        <w:lang w:val="es-ES" w:eastAsia="es-ES" w:bidi="es-ES"/>
      </w:rPr>
    </w:lvl>
    <w:lvl w:ilvl="8">
      <w:start w:val="0"/>
      <w:numFmt w:val="bullet"/>
      <w:lvlText w:val="•"/>
      <w:lvlJc w:val="left"/>
      <w:pPr>
        <w:ind w:left="7297" w:hanging="361"/>
      </w:pPr>
      <w:rPr>
        <w:rFonts w:hint="default"/>
        <w:lang w:val="es-ES" w:eastAsia="es-ES" w:bidi="es-ES"/>
      </w:rPr>
    </w:lvl>
  </w:abstractNum>
  <w:abstractNum w:abstractNumId="4">
    <w:multiLevelType w:val="hybridMultilevel"/>
    <w:lvl w:ilvl="0">
      <w:start w:val="1"/>
      <w:numFmt w:val="lowerRoman"/>
      <w:lvlText w:val="(%1)"/>
      <w:lvlJc w:val="left"/>
      <w:pPr>
        <w:ind w:left="1181" w:hanging="361"/>
        <w:jc w:val="left"/>
      </w:pPr>
      <w:rPr>
        <w:rFonts w:hint="default" w:ascii="Times New Roman" w:hAnsi="Times New Roman" w:eastAsia="Times New Roman" w:cs="Times New Roman"/>
        <w:w w:val="100"/>
        <w:sz w:val="22"/>
        <w:szCs w:val="22"/>
        <w:lang w:val="es-ES" w:eastAsia="es-ES" w:bidi="es-ES"/>
      </w:rPr>
    </w:lvl>
    <w:lvl w:ilvl="1">
      <w:start w:val="0"/>
      <w:numFmt w:val="bullet"/>
      <w:lvlText w:val="•"/>
      <w:lvlJc w:val="left"/>
      <w:pPr>
        <w:ind w:left="1944" w:hanging="361"/>
      </w:pPr>
      <w:rPr>
        <w:rFonts w:hint="default"/>
        <w:lang w:val="es-ES" w:eastAsia="es-ES" w:bidi="es-ES"/>
      </w:rPr>
    </w:lvl>
    <w:lvl w:ilvl="2">
      <w:start w:val="0"/>
      <w:numFmt w:val="bullet"/>
      <w:lvlText w:val="•"/>
      <w:lvlJc w:val="left"/>
      <w:pPr>
        <w:ind w:left="2709" w:hanging="361"/>
      </w:pPr>
      <w:rPr>
        <w:rFonts w:hint="default"/>
        <w:lang w:val="es-ES" w:eastAsia="es-ES" w:bidi="es-ES"/>
      </w:rPr>
    </w:lvl>
    <w:lvl w:ilvl="3">
      <w:start w:val="0"/>
      <w:numFmt w:val="bullet"/>
      <w:lvlText w:val="•"/>
      <w:lvlJc w:val="left"/>
      <w:pPr>
        <w:ind w:left="3473" w:hanging="361"/>
      </w:pPr>
      <w:rPr>
        <w:rFonts w:hint="default"/>
        <w:lang w:val="es-ES" w:eastAsia="es-ES" w:bidi="es-ES"/>
      </w:rPr>
    </w:lvl>
    <w:lvl w:ilvl="4">
      <w:start w:val="0"/>
      <w:numFmt w:val="bullet"/>
      <w:lvlText w:val="•"/>
      <w:lvlJc w:val="left"/>
      <w:pPr>
        <w:ind w:left="4238" w:hanging="361"/>
      </w:pPr>
      <w:rPr>
        <w:rFonts w:hint="default"/>
        <w:lang w:val="es-ES" w:eastAsia="es-ES" w:bidi="es-ES"/>
      </w:rPr>
    </w:lvl>
    <w:lvl w:ilvl="5">
      <w:start w:val="0"/>
      <w:numFmt w:val="bullet"/>
      <w:lvlText w:val="•"/>
      <w:lvlJc w:val="left"/>
      <w:pPr>
        <w:ind w:left="5003" w:hanging="361"/>
      </w:pPr>
      <w:rPr>
        <w:rFonts w:hint="default"/>
        <w:lang w:val="es-ES" w:eastAsia="es-ES" w:bidi="es-ES"/>
      </w:rPr>
    </w:lvl>
    <w:lvl w:ilvl="6">
      <w:start w:val="0"/>
      <w:numFmt w:val="bullet"/>
      <w:lvlText w:val="•"/>
      <w:lvlJc w:val="left"/>
      <w:pPr>
        <w:ind w:left="5767" w:hanging="361"/>
      </w:pPr>
      <w:rPr>
        <w:rFonts w:hint="default"/>
        <w:lang w:val="es-ES" w:eastAsia="es-ES" w:bidi="es-ES"/>
      </w:rPr>
    </w:lvl>
    <w:lvl w:ilvl="7">
      <w:start w:val="0"/>
      <w:numFmt w:val="bullet"/>
      <w:lvlText w:val="•"/>
      <w:lvlJc w:val="left"/>
      <w:pPr>
        <w:ind w:left="6532" w:hanging="361"/>
      </w:pPr>
      <w:rPr>
        <w:rFonts w:hint="default"/>
        <w:lang w:val="es-ES" w:eastAsia="es-ES" w:bidi="es-ES"/>
      </w:rPr>
    </w:lvl>
    <w:lvl w:ilvl="8">
      <w:start w:val="0"/>
      <w:numFmt w:val="bullet"/>
      <w:lvlText w:val="•"/>
      <w:lvlJc w:val="left"/>
      <w:pPr>
        <w:ind w:left="7297" w:hanging="361"/>
      </w:pPr>
      <w:rPr>
        <w:rFonts w:hint="default"/>
        <w:lang w:val="es-ES" w:eastAsia="es-ES" w:bidi="es-ES"/>
      </w:rPr>
    </w:lvl>
  </w:abstractNum>
  <w:abstractNum w:abstractNumId="3">
    <w:multiLevelType w:val="hybridMultilevel"/>
    <w:lvl w:ilvl="0">
      <w:start w:val="1"/>
      <w:numFmt w:val="decimal"/>
      <w:lvlText w:val="%1)"/>
      <w:lvlJc w:val="left"/>
      <w:pPr>
        <w:ind w:left="1181" w:hanging="360"/>
        <w:jc w:val="left"/>
      </w:pPr>
      <w:rPr>
        <w:rFonts w:hint="default" w:ascii="Times New Roman" w:hAnsi="Times New Roman" w:eastAsia="Times New Roman" w:cs="Times New Roman"/>
        <w:w w:val="100"/>
        <w:sz w:val="22"/>
        <w:szCs w:val="22"/>
        <w:lang w:val="es-ES" w:eastAsia="es-ES" w:bidi="es-ES"/>
      </w:rPr>
    </w:lvl>
    <w:lvl w:ilvl="1">
      <w:start w:val="1"/>
      <w:numFmt w:val="lowerLetter"/>
      <w:lvlText w:val="%2)"/>
      <w:lvlJc w:val="left"/>
      <w:pPr>
        <w:ind w:left="1181" w:hanging="361"/>
        <w:jc w:val="left"/>
      </w:pPr>
      <w:rPr>
        <w:rFonts w:hint="default" w:ascii="Times New Roman" w:hAnsi="Times New Roman" w:eastAsia="Times New Roman" w:cs="Times New Roman"/>
        <w:w w:val="100"/>
        <w:sz w:val="22"/>
        <w:szCs w:val="22"/>
        <w:lang w:val="es-ES" w:eastAsia="es-ES" w:bidi="es-ES"/>
      </w:rPr>
    </w:lvl>
    <w:lvl w:ilvl="2">
      <w:start w:val="0"/>
      <w:numFmt w:val="bullet"/>
      <w:lvlText w:val="•"/>
      <w:lvlJc w:val="left"/>
      <w:pPr>
        <w:ind w:left="2709" w:hanging="361"/>
      </w:pPr>
      <w:rPr>
        <w:rFonts w:hint="default"/>
        <w:lang w:val="es-ES" w:eastAsia="es-ES" w:bidi="es-ES"/>
      </w:rPr>
    </w:lvl>
    <w:lvl w:ilvl="3">
      <w:start w:val="0"/>
      <w:numFmt w:val="bullet"/>
      <w:lvlText w:val="•"/>
      <w:lvlJc w:val="left"/>
      <w:pPr>
        <w:ind w:left="3473" w:hanging="361"/>
      </w:pPr>
      <w:rPr>
        <w:rFonts w:hint="default"/>
        <w:lang w:val="es-ES" w:eastAsia="es-ES" w:bidi="es-ES"/>
      </w:rPr>
    </w:lvl>
    <w:lvl w:ilvl="4">
      <w:start w:val="0"/>
      <w:numFmt w:val="bullet"/>
      <w:lvlText w:val="•"/>
      <w:lvlJc w:val="left"/>
      <w:pPr>
        <w:ind w:left="4238" w:hanging="361"/>
      </w:pPr>
      <w:rPr>
        <w:rFonts w:hint="default"/>
        <w:lang w:val="es-ES" w:eastAsia="es-ES" w:bidi="es-ES"/>
      </w:rPr>
    </w:lvl>
    <w:lvl w:ilvl="5">
      <w:start w:val="0"/>
      <w:numFmt w:val="bullet"/>
      <w:lvlText w:val="•"/>
      <w:lvlJc w:val="left"/>
      <w:pPr>
        <w:ind w:left="5003" w:hanging="361"/>
      </w:pPr>
      <w:rPr>
        <w:rFonts w:hint="default"/>
        <w:lang w:val="es-ES" w:eastAsia="es-ES" w:bidi="es-ES"/>
      </w:rPr>
    </w:lvl>
    <w:lvl w:ilvl="6">
      <w:start w:val="0"/>
      <w:numFmt w:val="bullet"/>
      <w:lvlText w:val="•"/>
      <w:lvlJc w:val="left"/>
      <w:pPr>
        <w:ind w:left="5767" w:hanging="361"/>
      </w:pPr>
      <w:rPr>
        <w:rFonts w:hint="default"/>
        <w:lang w:val="es-ES" w:eastAsia="es-ES" w:bidi="es-ES"/>
      </w:rPr>
    </w:lvl>
    <w:lvl w:ilvl="7">
      <w:start w:val="0"/>
      <w:numFmt w:val="bullet"/>
      <w:lvlText w:val="•"/>
      <w:lvlJc w:val="left"/>
      <w:pPr>
        <w:ind w:left="6532" w:hanging="361"/>
      </w:pPr>
      <w:rPr>
        <w:rFonts w:hint="default"/>
        <w:lang w:val="es-ES" w:eastAsia="es-ES" w:bidi="es-ES"/>
      </w:rPr>
    </w:lvl>
    <w:lvl w:ilvl="8">
      <w:start w:val="0"/>
      <w:numFmt w:val="bullet"/>
      <w:lvlText w:val="•"/>
      <w:lvlJc w:val="left"/>
      <w:pPr>
        <w:ind w:left="7297" w:hanging="361"/>
      </w:pPr>
      <w:rPr>
        <w:rFonts w:hint="default"/>
        <w:lang w:val="es-ES" w:eastAsia="es-ES" w:bidi="es-ES"/>
      </w:rPr>
    </w:lvl>
  </w:abstractNum>
  <w:abstractNum w:abstractNumId="2">
    <w:multiLevelType w:val="hybridMultilevel"/>
    <w:lvl w:ilvl="0">
      <w:start w:val="1"/>
      <w:numFmt w:val="decimal"/>
      <w:lvlText w:val="%1."/>
      <w:lvlJc w:val="left"/>
      <w:pPr>
        <w:ind w:left="811" w:hanging="348"/>
        <w:jc w:val="left"/>
      </w:pPr>
      <w:rPr>
        <w:rFonts w:hint="default" w:ascii="Times New Roman" w:hAnsi="Times New Roman" w:eastAsia="Times New Roman" w:cs="Times New Roman"/>
        <w:b/>
        <w:bCs/>
        <w:w w:val="100"/>
        <w:sz w:val="22"/>
        <w:szCs w:val="22"/>
        <w:lang w:val="es-ES" w:eastAsia="es-ES" w:bidi="es-ES"/>
      </w:rPr>
    </w:lvl>
    <w:lvl w:ilvl="1">
      <w:start w:val="1"/>
      <w:numFmt w:val="decimal"/>
      <w:lvlText w:val="%1.%2."/>
      <w:lvlJc w:val="left"/>
      <w:pPr>
        <w:ind w:left="1183" w:hanging="360"/>
        <w:jc w:val="left"/>
      </w:pPr>
      <w:rPr>
        <w:rFonts w:hint="default" w:ascii="Times New Roman" w:hAnsi="Times New Roman" w:eastAsia="Times New Roman" w:cs="Times New Roman"/>
        <w:b/>
        <w:bCs/>
        <w:w w:val="100"/>
        <w:sz w:val="22"/>
        <w:szCs w:val="22"/>
        <w:lang w:val="es-ES" w:eastAsia="es-ES" w:bidi="es-ES"/>
      </w:rPr>
    </w:lvl>
    <w:lvl w:ilvl="2">
      <w:start w:val="1"/>
      <w:numFmt w:val="decimal"/>
      <w:lvlText w:val="%1.%2.%3."/>
      <w:lvlJc w:val="left"/>
      <w:pPr>
        <w:ind w:left="1903" w:hanging="721"/>
        <w:jc w:val="left"/>
      </w:pPr>
      <w:rPr>
        <w:rFonts w:hint="default" w:ascii="Times New Roman" w:hAnsi="Times New Roman" w:eastAsia="Times New Roman" w:cs="Times New Roman"/>
        <w:i/>
        <w:w w:val="100"/>
        <w:sz w:val="22"/>
        <w:szCs w:val="22"/>
        <w:lang w:val="es-ES" w:eastAsia="es-ES" w:bidi="es-ES"/>
      </w:rPr>
    </w:lvl>
    <w:lvl w:ilvl="3">
      <w:start w:val="1"/>
      <w:numFmt w:val="decimal"/>
      <w:lvlText w:val="%1.%2.%3.%4."/>
      <w:lvlJc w:val="left"/>
      <w:pPr>
        <w:ind w:left="2263" w:hanging="685"/>
        <w:jc w:val="left"/>
      </w:pPr>
      <w:rPr>
        <w:rFonts w:hint="default" w:ascii="Times New Roman" w:hAnsi="Times New Roman" w:eastAsia="Times New Roman" w:cs="Times New Roman"/>
        <w:w w:val="100"/>
        <w:sz w:val="22"/>
        <w:szCs w:val="22"/>
        <w:lang w:val="es-ES" w:eastAsia="es-ES" w:bidi="es-ES"/>
      </w:rPr>
    </w:lvl>
    <w:lvl w:ilvl="4">
      <w:start w:val="0"/>
      <w:numFmt w:val="bullet"/>
      <w:lvlText w:val="•"/>
      <w:lvlJc w:val="left"/>
      <w:pPr>
        <w:ind w:left="3078" w:hanging="685"/>
      </w:pPr>
      <w:rPr>
        <w:rFonts w:hint="default"/>
        <w:lang w:val="es-ES" w:eastAsia="es-ES" w:bidi="es-ES"/>
      </w:rPr>
    </w:lvl>
    <w:lvl w:ilvl="5">
      <w:start w:val="0"/>
      <w:numFmt w:val="bullet"/>
      <w:lvlText w:val="•"/>
      <w:lvlJc w:val="left"/>
      <w:pPr>
        <w:ind w:left="3897" w:hanging="685"/>
      </w:pPr>
      <w:rPr>
        <w:rFonts w:hint="default"/>
        <w:lang w:val="es-ES" w:eastAsia="es-ES" w:bidi="es-ES"/>
      </w:rPr>
    </w:lvl>
    <w:lvl w:ilvl="6">
      <w:start w:val="0"/>
      <w:numFmt w:val="bullet"/>
      <w:lvlText w:val="•"/>
      <w:lvlJc w:val="left"/>
      <w:pPr>
        <w:ind w:left="4715" w:hanging="685"/>
      </w:pPr>
      <w:rPr>
        <w:rFonts w:hint="default"/>
        <w:lang w:val="es-ES" w:eastAsia="es-ES" w:bidi="es-ES"/>
      </w:rPr>
    </w:lvl>
    <w:lvl w:ilvl="7">
      <w:start w:val="0"/>
      <w:numFmt w:val="bullet"/>
      <w:lvlText w:val="•"/>
      <w:lvlJc w:val="left"/>
      <w:pPr>
        <w:ind w:left="5534" w:hanging="685"/>
      </w:pPr>
      <w:rPr>
        <w:rFonts w:hint="default"/>
        <w:lang w:val="es-ES" w:eastAsia="es-ES" w:bidi="es-ES"/>
      </w:rPr>
    </w:lvl>
    <w:lvl w:ilvl="8">
      <w:start w:val="0"/>
      <w:numFmt w:val="bullet"/>
      <w:lvlText w:val="•"/>
      <w:lvlJc w:val="left"/>
      <w:pPr>
        <w:ind w:left="6352" w:hanging="685"/>
      </w:pPr>
      <w:rPr>
        <w:rFonts w:hint="default"/>
        <w:lang w:val="es-ES" w:eastAsia="es-ES" w:bidi="es-ES"/>
      </w:rPr>
    </w:lvl>
  </w:abstractNum>
  <w:abstractNum w:abstractNumId="1">
    <w:multiLevelType w:val="hybridMultilevel"/>
    <w:lvl w:ilvl="0">
      <w:start w:val="1"/>
      <w:numFmt w:val="decimal"/>
      <w:lvlText w:val="%1."/>
      <w:lvlJc w:val="left"/>
      <w:pPr>
        <w:ind w:left="811" w:hanging="348"/>
        <w:jc w:val="left"/>
      </w:pPr>
      <w:rPr>
        <w:rFonts w:hint="default" w:ascii="Times New Roman" w:hAnsi="Times New Roman" w:eastAsia="Times New Roman" w:cs="Times New Roman"/>
        <w:w w:val="100"/>
        <w:sz w:val="22"/>
        <w:szCs w:val="22"/>
        <w:lang w:val="es-ES" w:eastAsia="es-ES" w:bidi="es-ES"/>
      </w:rPr>
    </w:lvl>
    <w:lvl w:ilvl="1">
      <w:start w:val="1"/>
      <w:numFmt w:val="decimal"/>
      <w:lvlText w:val="%1.%2."/>
      <w:lvlJc w:val="left"/>
      <w:pPr>
        <w:ind w:left="1183" w:hanging="360"/>
        <w:jc w:val="left"/>
      </w:pPr>
      <w:rPr>
        <w:rFonts w:hint="default" w:ascii="Times New Roman" w:hAnsi="Times New Roman" w:eastAsia="Times New Roman" w:cs="Times New Roman"/>
        <w:w w:val="100"/>
        <w:sz w:val="22"/>
        <w:szCs w:val="22"/>
        <w:lang w:val="es-ES" w:eastAsia="es-ES" w:bidi="es-ES"/>
      </w:rPr>
    </w:lvl>
    <w:lvl w:ilvl="2">
      <w:start w:val="1"/>
      <w:numFmt w:val="decimal"/>
      <w:lvlText w:val="%1.%2.%3."/>
      <w:lvlJc w:val="left"/>
      <w:pPr>
        <w:ind w:left="1903" w:hanging="721"/>
        <w:jc w:val="left"/>
      </w:pPr>
      <w:rPr>
        <w:rFonts w:hint="default" w:ascii="Times New Roman" w:hAnsi="Times New Roman" w:eastAsia="Times New Roman" w:cs="Times New Roman"/>
        <w:w w:val="100"/>
        <w:sz w:val="22"/>
        <w:szCs w:val="22"/>
        <w:lang w:val="es-ES" w:eastAsia="es-ES" w:bidi="es-ES"/>
      </w:rPr>
    </w:lvl>
    <w:lvl w:ilvl="3">
      <w:start w:val="1"/>
      <w:numFmt w:val="decimal"/>
      <w:lvlText w:val="%1.%2.%3.%4."/>
      <w:lvlJc w:val="left"/>
      <w:pPr>
        <w:ind w:left="2263" w:hanging="685"/>
        <w:jc w:val="left"/>
      </w:pPr>
      <w:rPr>
        <w:rFonts w:hint="default" w:ascii="Times New Roman" w:hAnsi="Times New Roman" w:eastAsia="Times New Roman" w:cs="Times New Roman"/>
        <w:w w:val="100"/>
        <w:sz w:val="22"/>
        <w:szCs w:val="22"/>
        <w:lang w:val="es-ES" w:eastAsia="es-ES" w:bidi="es-ES"/>
      </w:rPr>
    </w:lvl>
    <w:lvl w:ilvl="4">
      <w:start w:val="0"/>
      <w:numFmt w:val="bullet"/>
      <w:lvlText w:val="•"/>
      <w:lvlJc w:val="left"/>
      <w:pPr>
        <w:ind w:left="3078" w:hanging="685"/>
      </w:pPr>
      <w:rPr>
        <w:rFonts w:hint="default"/>
        <w:lang w:val="es-ES" w:eastAsia="es-ES" w:bidi="es-ES"/>
      </w:rPr>
    </w:lvl>
    <w:lvl w:ilvl="5">
      <w:start w:val="0"/>
      <w:numFmt w:val="bullet"/>
      <w:lvlText w:val="•"/>
      <w:lvlJc w:val="left"/>
      <w:pPr>
        <w:ind w:left="3897" w:hanging="685"/>
      </w:pPr>
      <w:rPr>
        <w:rFonts w:hint="default"/>
        <w:lang w:val="es-ES" w:eastAsia="es-ES" w:bidi="es-ES"/>
      </w:rPr>
    </w:lvl>
    <w:lvl w:ilvl="6">
      <w:start w:val="0"/>
      <w:numFmt w:val="bullet"/>
      <w:lvlText w:val="•"/>
      <w:lvlJc w:val="left"/>
      <w:pPr>
        <w:ind w:left="4715" w:hanging="685"/>
      </w:pPr>
      <w:rPr>
        <w:rFonts w:hint="default"/>
        <w:lang w:val="es-ES" w:eastAsia="es-ES" w:bidi="es-ES"/>
      </w:rPr>
    </w:lvl>
    <w:lvl w:ilvl="7">
      <w:start w:val="0"/>
      <w:numFmt w:val="bullet"/>
      <w:lvlText w:val="•"/>
      <w:lvlJc w:val="left"/>
      <w:pPr>
        <w:ind w:left="5534" w:hanging="685"/>
      </w:pPr>
      <w:rPr>
        <w:rFonts w:hint="default"/>
        <w:lang w:val="es-ES" w:eastAsia="es-ES" w:bidi="es-ES"/>
      </w:rPr>
    </w:lvl>
    <w:lvl w:ilvl="8">
      <w:start w:val="0"/>
      <w:numFmt w:val="bullet"/>
      <w:lvlText w:val="•"/>
      <w:lvlJc w:val="left"/>
      <w:pPr>
        <w:ind w:left="6352" w:hanging="685"/>
      </w:pPr>
      <w:rPr>
        <w:rFonts w:hint="default"/>
        <w:lang w:val="es-ES" w:eastAsia="es-ES" w:bidi="es-ES"/>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2"/>
        <w:szCs w:val="22"/>
        <w:lang w:val="es-ES" w:eastAsia="es-ES" w:bidi="es-ES"/>
      </w:rPr>
    </w:lvl>
    <w:lvl w:ilvl="1">
      <w:start w:val="1"/>
      <w:numFmt w:val="lowerLetter"/>
      <w:lvlText w:val="%2)"/>
      <w:lvlJc w:val="left"/>
      <w:pPr>
        <w:ind w:left="1181" w:hanging="361"/>
        <w:jc w:val="left"/>
      </w:pPr>
      <w:rPr>
        <w:rFonts w:hint="default" w:ascii="Times New Roman" w:hAnsi="Times New Roman" w:eastAsia="Times New Roman" w:cs="Times New Roman"/>
        <w:w w:val="100"/>
        <w:sz w:val="22"/>
        <w:szCs w:val="22"/>
        <w:lang w:val="es-ES" w:eastAsia="es-ES" w:bidi="es-ES"/>
      </w:rPr>
    </w:lvl>
    <w:lvl w:ilvl="2">
      <w:start w:val="0"/>
      <w:numFmt w:val="bullet"/>
      <w:lvlText w:val="•"/>
      <w:lvlJc w:val="left"/>
      <w:pPr>
        <w:ind w:left="2029" w:hanging="361"/>
      </w:pPr>
      <w:rPr>
        <w:rFonts w:hint="default"/>
        <w:lang w:val="es-ES" w:eastAsia="es-ES" w:bidi="es-ES"/>
      </w:rPr>
    </w:lvl>
    <w:lvl w:ilvl="3">
      <w:start w:val="0"/>
      <w:numFmt w:val="bullet"/>
      <w:lvlText w:val="•"/>
      <w:lvlJc w:val="left"/>
      <w:pPr>
        <w:ind w:left="2879" w:hanging="361"/>
      </w:pPr>
      <w:rPr>
        <w:rFonts w:hint="default"/>
        <w:lang w:val="es-ES" w:eastAsia="es-ES" w:bidi="es-ES"/>
      </w:rPr>
    </w:lvl>
    <w:lvl w:ilvl="4">
      <w:start w:val="0"/>
      <w:numFmt w:val="bullet"/>
      <w:lvlText w:val="•"/>
      <w:lvlJc w:val="left"/>
      <w:pPr>
        <w:ind w:left="3728" w:hanging="361"/>
      </w:pPr>
      <w:rPr>
        <w:rFonts w:hint="default"/>
        <w:lang w:val="es-ES" w:eastAsia="es-ES" w:bidi="es-ES"/>
      </w:rPr>
    </w:lvl>
    <w:lvl w:ilvl="5">
      <w:start w:val="0"/>
      <w:numFmt w:val="bullet"/>
      <w:lvlText w:val="•"/>
      <w:lvlJc w:val="left"/>
      <w:pPr>
        <w:ind w:left="4578" w:hanging="361"/>
      </w:pPr>
      <w:rPr>
        <w:rFonts w:hint="default"/>
        <w:lang w:val="es-ES" w:eastAsia="es-ES" w:bidi="es-ES"/>
      </w:rPr>
    </w:lvl>
    <w:lvl w:ilvl="6">
      <w:start w:val="0"/>
      <w:numFmt w:val="bullet"/>
      <w:lvlText w:val="•"/>
      <w:lvlJc w:val="left"/>
      <w:pPr>
        <w:ind w:left="5428" w:hanging="361"/>
      </w:pPr>
      <w:rPr>
        <w:rFonts w:hint="default"/>
        <w:lang w:val="es-ES" w:eastAsia="es-ES" w:bidi="es-ES"/>
      </w:rPr>
    </w:lvl>
    <w:lvl w:ilvl="7">
      <w:start w:val="0"/>
      <w:numFmt w:val="bullet"/>
      <w:lvlText w:val="•"/>
      <w:lvlJc w:val="left"/>
      <w:pPr>
        <w:ind w:left="6277" w:hanging="361"/>
      </w:pPr>
      <w:rPr>
        <w:rFonts w:hint="default"/>
        <w:lang w:val="es-ES" w:eastAsia="es-ES" w:bidi="es-ES"/>
      </w:rPr>
    </w:lvl>
    <w:lvl w:ilvl="8">
      <w:start w:val="0"/>
      <w:numFmt w:val="bullet"/>
      <w:lvlText w:val="•"/>
      <w:lvlJc w:val="left"/>
      <w:pPr>
        <w:ind w:left="7127" w:hanging="361"/>
      </w:pPr>
      <w:rPr>
        <w:rFonts w:hint="default"/>
        <w:lang w:val="es-ES" w:eastAsia="es-ES" w:bidi="es-E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spacing w:before="119"/>
    </w:pPr>
    <w:rPr>
      <w:rFonts w:ascii="Times New Roman" w:hAnsi="Times New Roman" w:eastAsia="Times New Roman" w:cs="Times New Roman"/>
      <w:sz w:val="22"/>
      <w:szCs w:val="22"/>
      <w:lang w:val="es-ES" w:eastAsia="es-ES" w:bidi="es-ES"/>
    </w:rPr>
  </w:style>
  <w:style w:styleId="Heading1" w:type="paragraph">
    <w:name w:val="Heading 1"/>
    <w:basedOn w:val="Normal"/>
    <w:uiPriority w:val="1"/>
    <w:qFormat/>
    <w:pPr>
      <w:ind w:left="103" w:hanging="3329"/>
      <w:outlineLvl w:val="1"/>
    </w:pPr>
    <w:rPr>
      <w:rFonts w:ascii="Times New Roman" w:hAnsi="Times New Roman" w:eastAsia="Times New Roman" w:cs="Times New Roman"/>
      <w:b/>
      <w:bCs/>
      <w:sz w:val="22"/>
      <w:szCs w:val="22"/>
      <w:lang w:val="es-ES" w:eastAsia="es-ES" w:bidi="es-ES"/>
    </w:rPr>
  </w:style>
  <w:style w:styleId="ListParagraph" w:type="paragraph">
    <w:name w:val="List Paragraph"/>
    <w:basedOn w:val="Normal"/>
    <w:uiPriority w:val="1"/>
    <w:qFormat/>
    <w:pPr>
      <w:spacing w:before="119"/>
      <w:ind w:left="1181" w:hanging="360"/>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hlopez</dc:creator>
  <dc:title>BORRADOR RHLE</dc:title>
  <dcterms:created xsi:type="dcterms:W3CDTF">2018-11-22T11:13:04Z</dcterms:created>
  <dcterms:modified xsi:type="dcterms:W3CDTF">2018-11-22T11:13:04Z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Acrobat PDFMaker 17 para Word</vt:lpwstr>
  </property>
  <property fmtid="{D5CDD505-2E9C-101B-9397-08002B2CF9AE}" pid="4" name="LastSaved">
    <vt:filetime>2018-11-22T00:00:00Z</vt:filetime>
  </property>
</Properties>
</file>